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5C881" w14:textId="77777777" w:rsidR="00A365C1" w:rsidRPr="00A365C1" w:rsidRDefault="00A365C1" w:rsidP="00A365C1">
      <w:pPr>
        <w:spacing w:after="0" w:line="360" w:lineRule="auto"/>
        <w:jc w:val="both"/>
        <w:rPr>
          <w:b/>
          <w:i/>
        </w:rPr>
      </w:pPr>
      <w:bookmarkStart w:id="0" w:name="_GoBack"/>
      <w:bookmarkEnd w:id="0"/>
      <w:r w:rsidRPr="00A365C1">
        <w:rPr>
          <w:b/>
        </w:rPr>
        <w:t xml:space="preserve">Synthèse – Locus </w:t>
      </w:r>
      <w:r w:rsidRPr="00A365C1">
        <w:rPr>
          <w:b/>
          <w:i/>
        </w:rPr>
        <w:t>SCG5-GREM1</w:t>
      </w:r>
    </w:p>
    <w:p w14:paraId="5F89DF18" w14:textId="77777777" w:rsidR="00A365C1" w:rsidRPr="00A365C1" w:rsidRDefault="00A365C1" w:rsidP="00A365C1">
      <w:pPr>
        <w:spacing w:after="0" w:line="360" w:lineRule="auto"/>
        <w:jc w:val="both"/>
        <w:rPr>
          <w:b/>
          <w:i/>
        </w:rPr>
      </w:pPr>
    </w:p>
    <w:p w14:paraId="47407A94" w14:textId="77777777" w:rsidR="00A365C1" w:rsidRPr="00A365C1" w:rsidRDefault="00A365C1" w:rsidP="00A365C1">
      <w:pPr>
        <w:spacing w:after="0" w:line="360" w:lineRule="auto"/>
        <w:jc w:val="both"/>
        <w:rPr>
          <w:b/>
        </w:rPr>
      </w:pPr>
      <w:r w:rsidRPr="00A365C1">
        <w:rPr>
          <w:b/>
        </w:rPr>
        <w:t xml:space="preserve">1 Etat des connaissances </w:t>
      </w:r>
    </w:p>
    <w:p w14:paraId="0FAB57F6" w14:textId="77777777" w:rsidR="00A365C1" w:rsidRPr="00A365C1" w:rsidRDefault="00A365C1" w:rsidP="00A365C1">
      <w:pPr>
        <w:spacing w:after="0" w:line="360" w:lineRule="auto"/>
        <w:jc w:val="both"/>
      </w:pPr>
      <w:r w:rsidRPr="00A365C1">
        <w:rPr>
          <w:lang w:val="fr-CA"/>
        </w:rPr>
        <w:t xml:space="preserve">Le syndrome de polypose mixte héréditaire est un syndrome rare de prédisposition aux polypes et au  cancer du colon </w:t>
      </w:r>
      <w:r w:rsidRPr="00A365C1">
        <w:t xml:space="preserve">décrit  pour la première fois il y a 50 ans dans une grande famille </w:t>
      </w:r>
      <w:proofErr w:type="spellStart"/>
      <w:r w:rsidRPr="00A365C1">
        <w:t>ashkenaze</w:t>
      </w:r>
      <w:proofErr w:type="spellEnd"/>
      <w:r w:rsidRPr="00A365C1">
        <w:t xml:space="preserve"> suivie au St </w:t>
      </w:r>
      <w:proofErr w:type="spellStart"/>
      <w:r w:rsidRPr="00A365C1">
        <w:t>Mark’s</w:t>
      </w:r>
      <w:proofErr w:type="spellEnd"/>
      <w:r w:rsidRPr="00A365C1">
        <w:t xml:space="preserve"> </w:t>
      </w:r>
      <w:proofErr w:type="spellStart"/>
      <w:r w:rsidRPr="00A365C1">
        <w:t>Hospital</w:t>
      </w:r>
      <w:proofErr w:type="spellEnd"/>
      <w:r w:rsidRPr="00A365C1">
        <w:t>, Londres.</w:t>
      </w:r>
      <w:r w:rsidRPr="00A365C1">
        <w:rPr>
          <w:lang w:val="fr-CA"/>
        </w:rPr>
        <w:t xml:space="preserve"> </w:t>
      </w:r>
      <w:r w:rsidRPr="00A365C1">
        <w:t xml:space="preserve">Les analyses par </w:t>
      </w:r>
      <w:proofErr w:type="spellStart"/>
      <w:r w:rsidRPr="00A365C1">
        <w:t>Genetic</w:t>
      </w:r>
      <w:proofErr w:type="spellEnd"/>
      <w:r w:rsidRPr="00A365C1">
        <w:t xml:space="preserve"> </w:t>
      </w:r>
      <w:proofErr w:type="spellStart"/>
      <w:r w:rsidRPr="00A365C1">
        <w:t>mapping</w:t>
      </w:r>
      <w:proofErr w:type="spellEnd"/>
      <w:r w:rsidRPr="00A365C1">
        <w:t xml:space="preserve">, copy </w:t>
      </w:r>
      <w:proofErr w:type="spellStart"/>
      <w:r w:rsidRPr="00A365C1">
        <w:t>number</w:t>
      </w:r>
      <w:proofErr w:type="spellEnd"/>
      <w:r w:rsidRPr="00A365C1">
        <w:t xml:space="preserve"> variant, séquençage haut débit, étude de l’expression des gènes et essais fonctionnels ont mis en évidence une large duplication du gène</w:t>
      </w:r>
      <w:r w:rsidRPr="00A365C1">
        <w:rPr>
          <w:i/>
        </w:rPr>
        <w:t xml:space="preserve"> GREM1</w:t>
      </w:r>
      <w:r w:rsidRPr="00A365C1">
        <w:t xml:space="preserve">. Cette duplication d’environ 40 kb intéresse une région comprise entre 30.735Mb et 31.370Mb en 15q13.3 incluant l’extrémité 3’ du gène </w:t>
      </w:r>
      <w:r w:rsidRPr="00A365C1">
        <w:rPr>
          <w:i/>
        </w:rPr>
        <w:t>SCG5</w:t>
      </w:r>
      <w:r w:rsidRPr="00A365C1">
        <w:t xml:space="preserve"> et la région 5’ du locus </w:t>
      </w:r>
      <w:r w:rsidRPr="00A365C1">
        <w:rPr>
          <w:i/>
        </w:rPr>
        <w:t>GREM1</w:t>
      </w:r>
      <w:r w:rsidRPr="00A365C1">
        <w:t>.  Elle est associée à une augmentation d’expression allèle-</w:t>
      </w:r>
      <w:proofErr w:type="spellStart"/>
      <w:r w:rsidRPr="00A365C1">
        <w:t>specifique</w:t>
      </w:r>
      <w:proofErr w:type="spellEnd"/>
      <w:r w:rsidRPr="00A365C1">
        <w:t xml:space="preserve"> de </w:t>
      </w:r>
      <w:r w:rsidRPr="00A365C1">
        <w:rPr>
          <w:i/>
        </w:rPr>
        <w:t>GREM1</w:t>
      </w:r>
      <w:r w:rsidRPr="00A365C1">
        <w:t xml:space="preserve">. Elle contient des éléments prédits pour être des éléments </w:t>
      </w:r>
      <w:proofErr w:type="spellStart"/>
      <w:r w:rsidRPr="00A365C1">
        <w:t>enhancers</w:t>
      </w:r>
      <w:proofErr w:type="spellEnd"/>
      <w:r w:rsidRPr="00A365C1">
        <w:t xml:space="preserve"> dans la transcription dont certains interagissent avec le promoteur de </w:t>
      </w:r>
      <w:r w:rsidRPr="00A365C1">
        <w:rPr>
          <w:i/>
          <w:iCs/>
        </w:rPr>
        <w:t xml:space="preserve">GREM1 </w:t>
      </w:r>
      <w:r w:rsidRPr="00A365C1">
        <w:rPr>
          <w:iCs/>
        </w:rPr>
        <w:t xml:space="preserve">et sont capables d’augmenter l’expression de ce gène in vitro. </w:t>
      </w:r>
      <w:r w:rsidRPr="00A365C1">
        <w:t>L’</w:t>
      </w:r>
      <w:r w:rsidRPr="00A365C1">
        <w:rPr>
          <w:iCs/>
        </w:rPr>
        <w:t xml:space="preserve">augmentation d’expression de </w:t>
      </w:r>
      <w:r w:rsidRPr="00A365C1">
        <w:rPr>
          <w:i/>
          <w:iCs/>
        </w:rPr>
        <w:t>GREM1</w:t>
      </w:r>
      <w:r w:rsidRPr="00A365C1">
        <w:rPr>
          <w:iCs/>
        </w:rPr>
        <w:t xml:space="preserve"> réduirait l’activité de la voie BMPR (</w:t>
      </w:r>
      <w:proofErr w:type="spellStart"/>
      <w:r w:rsidRPr="00A365C1">
        <w:rPr>
          <w:iCs/>
        </w:rPr>
        <w:t>bone</w:t>
      </w:r>
      <w:proofErr w:type="spellEnd"/>
      <w:r w:rsidRPr="00A365C1">
        <w:rPr>
          <w:iCs/>
        </w:rPr>
        <w:t xml:space="preserve"> </w:t>
      </w:r>
      <w:proofErr w:type="spellStart"/>
      <w:r w:rsidRPr="00A365C1">
        <w:rPr>
          <w:iCs/>
        </w:rPr>
        <w:t>morphogenetic</w:t>
      </w:r>
      <w:proofErr w:type="spellEnd"/>
      <w:r w:rsidRPr="00A365C1">
        <w:rPr>
          <w:iCs/>
        </w:rPr>
        <w:t xml:space="preserve"> </w:t>
      </w:r>
      <w:proofErr w:type="spellStart"/>
      <w:r w:rsidRPr="00A365C1">
        <w:rPr>
          <w:iCs/>
        </w:rPr>
        <w:t>protein</w:t>
      </w:r>
      <w:proofErr w:type="spellEnd"/>
      <w:r w:rsidRPr="00A365C1">
        <w:rPr>
          <w:iCs/>
        </w:rPr>
        <w:t xml:space="preserve"> </w:t>
      </w:r>
      <w:proofErr w:type="spellStart"/>
      <w:r w:rsidRPr="00A365C1">
        <w:rPr>
          <w:iCs/>
        </w:rPr>
        <w:t>pathway</w:t>
      </w:r>
      <w:proofErr w:type="spellEnd"/>
      <w:r w:rsidRPr="00A365C1">
        <w:rPr>
          <w:iCs/>
        </w:rPr>
        <w:t xml:space="preserve">), mécanisme qui </w:t>
      </w:r>
      <w:proofErr w:type="spellStart"/>
      <w:r w:rsidRPr="00A365C1">
        <w:rPr>
          <w:iCs/>
        </w:rPr>
        <w:t>sous tend</w:t>
      </w:r>
      <w:proofErr w:type="spellEnd"/>
      <w:r w:rsidRPr="00A365C1">
        <w:rPr>
          <w:iCs/>
        </w:rPr>
        <w:t xml:space="preserve"> la </w:t>
      </w:r>
      <w:proofErr w:type="spellStart"/>
      <w:r w:rsidRPr="00A365C1">
        <w:rPr>
          <w:iCs/>
        </w:rPr>
        <w:t>tumorigenèse</w:t>
      </w:r>
      <w:proofErr w:type="spellEnd"/>
      <w:r w:rsidRPr="00A365C1">
        <w:rPr>
          <w:iCs/>
        </w:rPr>
        <w:t xml:space="preserve"> des polypes juvéniles coliques.</w:t>
      </w:r>
    </w:p>
    <w:p w14:paraId="3B5A23D4" w14:textId="77777777" w:rsidR="00A365C1" w:rsidRPr="00A365C1" w:rsidRDefault="00A365C1" w:rsidP="00A365C1">
      <w:pPr>
        <w:spacing w:after="0" w:line="360" w:lineRule="auto"/>
        <w:jc w:val="both"/>
      </w:pPr>
      <w:r w:rsidRPr="00A365C1">
        <w:rPr>
          <w:lang w:val="fr-CA"/>
        </w:rPr>
        <w:t xml:space="preserve">Cette duplication a été identifiée dans 3 familles </w:t>
      </w:r>
      <w:r w:rsidRPr="00A365C1">
        <w:t xml:space="preserve">d’origine </w:t>
      </w:r>
      <w:proofErr w:type="spellStart"/>
      <w:r w:rsidRPr="00A365C1">
        <w:t>ashkenaze</w:t>
      </w:r>
      <w:proofErr w:type="spellEnd"/>
      <w:r w:rsidRPr="00A365C1">
        <w:t xml:space="preserve"> </w:t>
      </w:r>
      <w:r w:rsidRPr="00A365C1">
        <w:rPr>
          <w:lang w:val="fr-CA"/>
        </w:rPr>
        <w:t xml:space="preserve">avec tableau de polyposes mixtes héréditaires : </w:t>
      </w:r>
      <w:r w:rsidRPr="00A365C1">
        <w:t xml:space="preserve">polypes de morphologies multiples and mixtes – incluant des polypes festonnés, des polypes </w:t>
      </w:r>
      <w:proofErr w:type="spellStart"/>
      <w:r w:rsidRPr="00A365C1">
        <w:t>hamartomateux</w:t>
      </w:r>
      <w:proofErr w:type="spellEnd"/>
      <w:r w:rsidRPr="00A365C1">
        <w:t xml:space="preserve"> de type </w:t>
      </w:r>
      <w:proofErr w:type="spellStart"/>
      <w:r w:rsidRPr="00A365C1">
        <w:t>Peutz-Jeghers</w:t>
      </w:r>
      <w:proofErr w:type="spellEnd"/>
      <w:r w:rsidRPr="00A365C1">
        <w:t xml:space="preserve">, des polypes juvéniles, des adénomes conventionnels, des cancers colorectaux (CCR) (1,2). Elle a aussi été identifiée dans une famille de CCR  familial en 2015 (3) et 4 autres familles, toutes  d’origine ashkénaze en 2017 (4). Pour ces dernières, </w:t>
      </w:r>
      <w:r w:rsidRPr="00A365C1">
        <w:rPr>
          <w:lang w:val="fr-CA"/>
        </w:rPr>
        <w:t xml:space="preserve">une grande hétérogénéité phénotypique a été observée. Une famille ayant une présentation type polypose </w:t>
      </w:r>
      <w:proofErr w:type="spellStart"/>
      <w:r w:rsidRPr="00A365C1">
        <w:rPr>
          <w:lang w:val="fr-CA"/>
        </w:rPr>
        <w:t>adénomateuse</w:t>
      </w:r>
      <w:proofErr w:type="spellEnd"/>
      <w:r w:rsidRPr="00A365C1">
        <w:rPr>
          <w:lang w:val="fr-CA"/>
        </w:rPr>
        <w:t xml:space="preserve"> familiale, 2 ayant une présentation de type syndrome de Lynch.</w:t>
      </w:r>
    </w:p>
    <w:p w14:paraId="0C1D3CFB" w14:textId="77777777" w:rsidR="00A365C1" w:rsidRPr="00A365C1" w:rsidRDefault="00A365C1" w:rsidP="00A365C1">
      <w:pPr>
        <w:spacing w:after="0" w:line="360" w:lineRule="auto"/>
        <w:jc w:val="both"/>
        <w:rPr>
          <w:lang w:val="fr-CA"/>
        </w:rPr>
      </w:pPr>
      <w:r w:rsidRPr="00A365C1">
        <w:rPr>
          <w:lang w:val="fr-CA"/>
        </w:rPr>
        <w:t xml:space="preserve">Deux autres duplications ont été identifiées à ce locus chez des patients sans origine </w:t>
      </w:r>
      <w:proofErr w:type="spellStart"/>
      <w:r w:rsidRPr="00A365C1">
        <w:rPr>
          <w:lang w:val="fr-CA"/>
        </w:rPr>
        <w:t>ashkenaze</w:t>
      </w:r>
      <w:proofErr w:type="spellEnd"/>
      <w:r w:rsidRPr="00A365C1">
        <w:rPr>
          <w:lang w:val="fr-CA"/>
        </w:rPr>
        <w:t xml:space="preserve"> connue : </w:t>
      </w:r>
    </w:p>
    <w:p w14:paraId="58B92F2A" w14:textId="77777777" w:rsidR="00A365C1" w:rsidRPr="00A365C1" w:rsidRDefault="00A365C1" w:rsidP="00A365C1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lang w:val="fr-CA"/>
        </w:rPr>
      </w:pPr>
      <w:r w:rsidRPr="00A365C1">
        <w:rPr>
          <w:lang w:val="fr-CA"/>
        </w:rPr>
        <w:t xml:space="preserve">une duplication de 16kb dans une famille de type polypose atténuée (5) </w:t>
      </w:r>
    </w:p>
    <w:p w14:paraId="5353511F" w14:textId="77777777" w:rsidR="00A365C1" w:rsidRPr="00A365C1" w:rsidRDefault="00A365C1" w:rsidP="00A365C1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lang w:val="fr-CA"/>
        </w:rPr>
      </w:pPr>
      <w:r w:rsidRPr="00A365C1">
        <w:rPr>
          <w:lang w:val="fr-CA"/>
        </w:rPr>
        <w:t xml:space="preserve">une duplication  de 57 kb englobant le gène </w:t>
      </w:r>
      <w:r w:rsidRPr="00A365C1">
        <w:rPr>
          <w:i/>
          <w:lang w:val="fr-CA"/>
        </w:rPr>
        <w:t>GREM1</w:t>
      </w:r>
      <w:r w:rsidRPr="00A365C1">
        <w:rPr>
          <w:lang w:val="fr-CA"/>
        </w:rPr>
        <w:t xml:space="preserve"> dans son ensemble et les derniers exons de SCG5 chez un patient atteint de cancer du </w:t>
      </w:r>
      <w:proofErr w:type="spellStart"/>
      <w:r w:rsidRPr="00A365C1">
        <w:rPr>
          <w:lang w:val="fr-CA"/>
        </w:rPr>
        <w:t>colon</w:t>
      </w:r>
      <w:proofErr w:type="spellEnd"/>
      <w:r w:rsidRPr="00A365C1">
        <w:rPr>
          <w:lang w:val="fr-CA"/>
        </w:rPr>
        <w:t xml:space="preserve"> à 35 ans sans histoire familiale connue (6) et une famille d’origine cambodgienne </w:t>
      </w:r>
      <w:r w:rsidRPr="00A365C1">
        <w:rPr>
          <w:i/>
          <w:lang w:val="fr-CA"/>
        </w:rPr>
        <w:t>(donnée personnelle Dr Christine MAUGARD).</w:t>
      </w:r>
      <w:r w:rsidRPr="00A365C1">
        <w:rPr>
          <w:lang w:val="fr-CA"/>
        </w:rPr>
        <w:t xml:space="preserve"> </w:t>
      </w:r>
    </w:p>
    <w:p w14:paraId="3E5BFD8F" w14:textId="77777777" w:rsidR="00A365C1" w:rsidRPr="00A365C1" w:rsidRDefault="00A365C1" w:rsidP="00A365C1">
      <w:pPr>
        <w:spacing w:after="0" w:line="360" w:lineRule="auto"/>
        <w:jc w:val="both"/>
        <w:rPr>
          <w:lang w:val="fr-CA"/>
        </w:rPr>
      </w:pPr>
    </w:p>
    <w:p w14:paraId="6A1B34FB" w14:textId="6C58998C" w:rsidR="00A365C1" w:rsidRPr="00A365C1" w:rsidRDefault="00A365C1" w:rsidP="00A365C1">
      <w:pPr>
        <w:spacing w:after="0" w:line="360" w:lineRule="auto"/>
        <w:jc w:val="both"/>
        <w:rPr>
          <w:lang w:val="fr-CA"/>
        </w:rPr>
      </w:pPr>
      <w:r w:rsidRPr="00A365C1">
        <w:rPr>
          <w:lang w:val="fr-CA"/>
        </w:rPr>
        <w:t>Références</w:t>
      </w:r>
      <w:r w:rsidR="00CC4348">
        <w:rPr>
          <w:lang w:val="fr-CA"/>
        </w:rPr>
        <w:t> :</w:t>
      </w:r>
    </w:p>
    <w:p w14:paraId="30CC7FD0" w14:textId="77777777" w:rsidR="00A365C1" w:rsidRPr="00CC4348" w:rsidRDefault="00A365C1" w:rsidP="00A365C1">
      <w:pPr>
        <w:spacing w:after="0" w:line="360" w:lineRule="auto"/>
        <w:jc w:val="both"/>
        <w:rPr>
          <w:i/>
        </w:rPr>
      </w:pPr>
      <w:r w:rsidRPr="00CC4348">
        <w:rPr>
          <w:i/>
        </w:rPr>
        <w:t>1 - Jaeger et al,  Nat Genet 2012 </w:t>
      </w:r>
    </w:p>
    <w:p w14:paraId="3050275B" w14:textId="7A836706" w:rsidR="00A365C1" w:rsidRPr="00CC4348" w:rsidRDefault="00A365C1" w:rsidP="00A365C1">
      <w:pPr>
        <w:spacing w:after="0" w:line="360" w:lineRule="auto"/>
        <w:jc w:val="both"/>
        <w:rPr>
          <w:i/>
        </w:rPr>
      </w:pPr>
      <w:r w:rsidRPr="00CC4348">
        <w:rPr>
          <w:i/>
        </w:rPr>
        <w:t xml:space="preserve">2 </w:t>
      </w:r>
      <w:r w:rsidR="00CC4348" w:rsidRPr="00CC4348">
        <w:rPr>
          <w:i/>
        </w:rPr>
        <w:t xml:space="preserve">- </w:t>
      </w:r>
      <w:r w:rsidRPr="00CC4348">
        <w:rPr>
          <w:i/>
        </w:rPr>
        <w:t xml:space="preserve"> </w:t>
      </w:r>
      <w:proofErr w:type="spellStart"/>
      <w:r w:rsidRPr="00CC4348">
        <w:rPr>
          <w:i/>
        </w:rPr>
        <w:t>Ziai</w:t>
      </w:r>
      <w:proofErr w:type="spellEnd"/>
      <w:r w:rsidRPr="00CC4348">
        <w:rPr>
          <w:i/>
        </w:rPr>
        <w:t xml:space="preserve">  et al, </w:t>
      </w:r>
      <w:hyperlink r:id="rId8" w:tooltip="Genetics research." w:history="1">
        <w:r w:rsidRPr="00CC4348">
          <w:rPr>
            <w:i/>
          </w:rPr>
          <w:t xml:space="preserve">Genet </w:t>
        </w:r>
        <w:proofErr w:type="spellStart"/>
        <w:r w:rsidRPr="00CC4348">
          <w:rPr>
            <w:i/>
          </w:rPr>
          <w:t>Res</w:t>
        </w:r>
        <w:proofErr w:type="spellEnd"/>
        <w:r w:rsidRPr="00CC4348">
          <w:rPr>
            <w:i/>
          </w:rPr>
          <w:t xml:space="preserve"> (</w:t>
        </w:r>
        <w:proofErr w:type="spellStart"/>
        <w:r w:rsidRPr="00CC4348">
          <w:rPr>
            <w:i/>
          </w:rPr>
          <w:t>Camb</w:t>
        </w:r>
        <w:proofErr w:type="spellEnd"/>
        <w:r w:rsidRPr="00CC4348">
          <w:rPr>
            <w:i/>
          </w:rPr>
          <w:t>).</w:t>
        </w:r>
      </w:hyperlink>
      <w:r w:rsidRPr="00CC4348">
        <w:rPr>
          <w:i/>
        </w:rPr>
        <w:t xml:space="preserve"> 2016 </w:t>
      </w:r>
    </w:p>
    <w:p w14:paraId="0E028AE7" w14:textId="322C6A91" w:rsidR="00A365C1" w:rsidRPr="00CC4348" w:rsidRDefault="00A365C1" w:rsidP="00A365C1">
      <w:pPr>
        <w:spacing w:after="0" w:line="360" w:lineRule="auto"/>
        <w:jc w:val="both"/>
        <w:rPr>
          <w:i/>
        </w:rPr>
      </w:pPr>
      <w:r w:rsidRPr="00CC4348">
        <w:rPr>
          <w:i/>
        </w:rPr>
        <w:t xml:space="preserve">3 </w:t>
      </w:r>
      <w:r w:rsidR="00CC4348">
        <w:rPr>
          <w:i/>
        </w:rPr>
        <w:t xml:space="preserve">- </w:t>
      </w:r>
      <w:proofErr w:type="spellStart"/>
      <w:r w:rsidR="00CC4348" w:rsidRPr="00CC4348">
        <w:rPr>
          <w:i/>
        </w:rPr>
        <w:t>La</w:t>
      </w:r>
      <w:r w:rsidRPr="00CC4348">
        <w:rPr>
          <w:i/>
        </w:rPr>
        <w:t>itman</w:t>
      </w:r>
      <w:proofErr w:type="spellEnd"/>
      <w:r w:rsidR="00CC4348">
        <w:rPr>
          <w:i/>
        </w:rPr>
        <w:t xml:space="preserve"> </w:t>
      </w:r>
      <w:r w:rsidRPr="00CC4348">
        <w:rPr>
          <w:i/>
        </w:rPr>
        <w:t>et al,</w:t>
      </w:r>
      <w:r w:rsidR="00CC4348" w:rsidRPr="00CC4348">
        <w:rPr>
          <w:i/>
        </w:rPr>
        <w:t xml:space="preserve"> </w:t>
      </w:r>
      <w:hyperlink r:id="rId9" w:tooltip="Genetics research." w:history="1">
        <w:r w:rsidR="00CC4348" w:rsidRPr="00CC4348">
          <w:rPr>
            <w:i/>
          </w:rPr>
          <w:t xml:space="preserve">Genet </w:t>
        </w:r>
        <w:proofErr w:type="spellStart"/>
        <w:r w:rsidR="00CC4348" w:rsidRPr="00CC4348">
          <w:rPr>
            <w:i/>
          </w:rPr>
          <w:t>Res</w:t>
        </w:r>
        <w:proofErr w:type="spellEnd"/>
        <w:r w:rsidR="00CC4348" w:rsidRPr="00CC4348">
          <w:rPr>
            <w:i/>
          </w:rPr>
          <w:t xml:space="preserve"> (</w:t>
        </w:r>
        <w:proofErr w:type="spellStart"/>
        <w:r w:rsidR="00CC4348" w:rsidRPr="00CC4348">
          <w:rPr>
            <w:i/>
          </w:rPr>
          <w:t>Camb</w:t>
        </w:r>
        <w:proofErr w:type="spellEnd"/>
        <w:r w:rsidR="00CC4348" w:rsidRPr="00CC4348">
          <w:rPr>
            <w:i/>
          </w:rPr>
          <w:t>).</w:t>
        </w:r>
      </w:hyperlink>
      <w:r w:rsidR="00CC4348" w:rsidRPr="00CC4348">
        <w:rPr>
          <w:i/>
        </w:rPr>
        <w:t xml:space="preserve"> 2015</w:t>
      </w:r>
      <w:r w:rsidRPr="00CC4348">
        <w:rPr>
          <w:i/>
        </w:rPr>
        <w:t xml:space="preserve"> </w:t>
      </w:r>
    </w:p>
    <w:p w14:paraId="12978647" w14:textId="7397EF36" w:rsidR="00A365C1" w:rsidRPr="00CC4348" w:rsidRDefault="00CC4348" w:rsidP="00A365C1">
      <w:pPr>
        <w:spacing w:after="0" w:line="360" w:lineRule="auto"/>
        <w:jc w:val="both"/>
        <w:rPr>
          <w:i/>
        </w:rPr>
      </w:pPr>
      <w:r w:rsidRPr="00CC4348">
        <w:rPr>
          <w:i/>
        </w:rPr>
        <w:t>4 - Lieberman</w:t>
      </w:r>
      <w:r w:rsidR="00A365C1" w:rsidRPr="00CC4348">
        <w:rPr>
          <w:i/>
        </w:rPr>
        <w:t xml:space="preserve"> et al, </w:t>
      </w:r>
      <w:proofErr w:type="spellStart"/>
      <w:r w:rsidRPr="00CC4348">
        <w:rPr>
          <w:i/>
        </w:rPr>
        <w:t>Gastroenterology</w:t>
      </w:r>
      <w:proofErr w:type="spellEnd"/>
      <w:r w:rsidRPr="00CC4348">
        <w:rPr>
          <w:i/>
        </w:rPr>
        <w:t xml:space="preserve"> </w:t>
      </w:r>
      <w:r w:rsidR="00A365C1" w:rsidRPr="00CC4348">
        <w:rPr>
          <w:i/>
        </w:rPr>
        <w:t>2017</w:t>
      </w:r>
    </w:p>
    <w:p w14:paraId="5A071AC6" w14:textId="7B07644D" w:rsidR="00A365C1" w:rsidRPr="00CC4348" w:rsidRDefault="00A365C1" w:rsidP="00A365C1">
      <w:pPr>
        <w:spacing w:after="0" w:line="360" w:lineRule="auto"/>
        <w:jc w:val="both"/>
        <w:rPr>
          <w:i/>
        </w:rPr>
      </w:pPr>
      <w:r w:rsidRPr="00CC4348">
        <w:rPr>
          <w:i/>
        </w:rPr>
        <w:t xml:space="preserve">5 </w:t>
      </w:r>
      <w:r w:rsidR="00CC4348">
        <w:rPr>
          <w:i/>
        </w:rPr>
        <w:t xml:space="preserve">- </w:t>
      </w:r>
      <w:proofErr w:type="spellStart"/>
      <w:r w:rsidRPr="00CC4348">
        <w:rPr>
          <w:i/>
        </w:rPr>
        <w:t>Rohlin</w:t>
      </w:r>
      <w:proofErr w:type="spellEnd"/>
      <w:r w:rsidRPr="00CC4348">
        <w:rPr>
          <w:i/>
        </w:rPr>
        <w:t xml:space="preserve"> et al, </w:t>
      </w:r>
      <w:hyperlink r:id="rId10" w:tooltip="Genes, chromosomes &amp; cancer." w:history="1">
        <w:proofErr w:type="spellStart"/>
        <w:r w:rsidR="00CC4348" w:rsidRPr="00CC4348">
          <w:rPr>
            <w:i/>
          </w:rPr>
          <w:t>Genes</w:t>
        </w:r>
        <w:proofErr w:type="spellEnd"/>
        <w:r w:rsidR="00CC4348" w:rsidRPr="00CC4348">
          <w:rPr>
            <w:i/>
          </w:rPr>
          <w:t xml:space="preserve"> Chromosomes Cancer.</w:t>
        </w:r>
      </w:hyperlink>
      <w:r w:rsidR="00CC4348" w:rsidRPr="00CC4348">
        <w:rPr>
          <w:i/>
        </w:rPr>
        <w:t xml:space="preserve"> 2016</w:t>
      </w:r>
    </w:p>
    <w:p w14:paraId="249FD1EF" w14:textId="659FEA03" w:rsidR="00A365C1" w:rsidRPr="00A365C1" w:rsidRDefault="00A365C1" w:rsidP="00A365C1">
      <w:pPr>
        <w:spacing w:after="0" w:line="360" w:lineRule="auto"/>
        <w:jc w:val="both"/>
      </w:pPr>
      <w:r w:rsidRPr="00A365C1">
        <w:rPr>
          <w:lang w:val="fr-CA"/>
        </w:rPr>
        <w:lastRenderedPageBreak/>
        <w:t xml:space="preserve">6 </w:t>
      </w:r>
      <w:r w:rsidR="00CC4348">
        <w:rPr>
          <w:lang w:val="fr-CA"/>
        </w:rPr>
        <w:t xml:space="preserve">- </w:t>
      </w:r>
      <w:proofErr w:type="spellStart"/>
      <w:r w:rsidR="00CC4348">
        <w:rPr>
          <w:i/>
        </w:rPr>
        <w:t>Venkatachalam</w:t>
      </w:r>
      <w:proofErr w:type="spellEnd"/>
      <w:r w:rsidR="00CC4348">
        <w:rPr>
          <w:i/>
        </w:rPr>
        <w:t xml:space="preserve"> </w:t>
      </w:r>
      <w:r w:rsidRPr="00CC4348">
        <w:rPr>
          <w:i/>
        </w:rPr>
        <w:t xml:space="preserve"> et al,</w:t>
      </w:r>
      <w:r w:rsidR="00CC4348" w:rsidRPr="00CC4348">
        <w:rPr>
          <w:i/>
        </w:rPr>
        <w:t xml:space="preserve"> </w:t>
      </w:r>
      <w:hyperlink r:id="rId11" w:tooltip="International journal of cancer." w:history="1">
        <w:r w:rsidR="00CC4348" w:rsidRPr="00CC4348">
          <w:rPr>
            <w:i/>
          </w:rPr>
          <w:t>Int J Cancer.</w:t>
        </w:r>
      </w:hyperlink>
      <w:r w:rsidR="00CC4348" w:rsidRPr="00CC4348">
        <w:rPr>
          <w:i/>
        </w:rPr>
        <w:t xml:space="preserve"> 2011</w:t>
      </w:r>
    </w:p>
    <w:p w14:paraId="22458409" w14:textId="77777777" w:rsidR="00A365C1" w:rsidRPr="00A365C1" w:rsidRDefault="00A365C1" w:rsidP="00A365C1">
      <w:pPr>
        <w:spacing w:after="0" w:line="360" w:lineRule="auto"/>
        <w:jc w:val="both"/>
        <w:rPr>
          <w:b/>
          <w:sz w:val="20"/>
        </w:rPr>
      </w:pPr>
    </w:p>
    <w:p w14:paraId="5FE70850" w14:textId="77777777" w:rsidR="00A365C1" w:rsidRPr="00A365C1" w:rsidRDefault="00A365C1" w:rsidP="00A365C1">
      <w:pPr>
        <w:spacing w:after="0" w:line="360" w:lineRule="auto"/>
        <w:jc w:val="both"/>
        <w:rPr>
          <w:sz w:val="20"/>
        </w:rPr>
      </w:pPr>
    </w:p>
    <w:p w14:paraId="3D36C3FF" w14:textId="77777777" w:rsidR="00A365C1" w:rsidRPr="00A365C1" w:rsidRDefault="00A365C1" w:rsidP="00A365C1">
      <w:pPr>
        <w:spacing w:after="0" w:line="240" w:lineRule="auto"/>
        <w:jc w:val="both"/>
      </w:pPr>
      <w:r w:rsidRPr="00A365C1">
        <w:rPr>
          <w:b/>
          <w:sz w:val="24"/>
          <w:szCs w:val="24"/>
        </w:rPr>
        <w:t>2 Risques de lésions néoplasiques digestives associés aux mutations constitutionnelles du gène</w:t>
      </w:r>
      <w:r w:rsidRPr="00A365C1">
        <w:rPr>
          <w:b/>
          <w:i/>
          <w:sz w:val="24"/>
          <w:szCs w:val="24"/>
        </w:rPr>
        <w:t xml:space="preserve"> GREM1</w:t>
      </w:r>
      <w:r w:rsidRPr="00A365C1">
        <w:rPr>
          <w:b/>
          <w:sz w:val="24"/>
          <w:szCs w:val="24"/>
        </w:rPr>
        <w:t xml:space="preserve"> et plus particulièrement aux  duplications au locus SCG5-GREM1</w:t>
      </w:r>
    </w:p>
    <w:p w14:paraId="7909ECCB" w14:textId="77777777" w:rsidR="00A365C1" w:rsidRPr="00A365C1" w:rsidRDefault="00A365C1" w:rsidP="00A365C1">
      <w:pPr>
        <w:spacing w:after="0" w:line="360" w:lineRule="auto"/>
        <w:rPr>
          <w:b/>
        </w:rPr>
      </w:pPr>
    </w:p>
    <w:p w14:paraId="0CCE1BD0" w14:textId="77777777" w:rsidR="00A365C1" w:rsidRPr="00A365C1" w:rsidRDefault="00A365C1" w:rsidP="00A365C1">
      <w:pPr>
        <w:spacing w:after="0" w:line="360" w:lineRule="auto"/>
        <w:jc w:val="both"/>
      </w:pPr>
      <w:r w:rsidRPr="00A365C1">
        <w:rPr>
          <w:b/>
        </w:rPr>
        <w:t>2.1 Risque de cancer colorectal </w:t>
      </w:r>
    </w:p>
    <w:p w14:paraId="5A0DBBF9" w14:textId="77777777" w:rsidR="00A365C1" w:rsidRPr="00A365C1" w:rsidRDefault="00A365C1" w:rsidP="00A365C1">
      <w:pPr>
        <w:spacing w:after="0" w:line="360" w:lineRule="auto"/>
        <w:jc w:val="both"/>
      </w:pPr>
      <w:r w:rsidRPr="00A365C1">
        <w:t>Il n’existe pas d’études estimant le risque de cancer colorectal associé aux duplications au locus SCG5-</w:t>
      </w:r>
      <w:r w:rsidRPr="00A365C1">
        <w:rPr>
          <w:i/>
        </w:rPr>
        <w:t>GREM1.</w:t>
      </w:r>
    </w:p>
    <w:p w14:paraId="5BF12F40" w14:textId="77777777" w:rsidR="00A365C1" w:rsidRPr="00A365C1" w:rsidRDefault="00A365C1" w:rsidP="00A365C1">
      <w:pPr>
        <w:spacing w:after="0" w:line="360" w:lineRule="auto"/>
        <w:jc w:val="both"/>
        <w:rPr>
          <w:b/>
        </w:rPr>
      </w:pPr>
      <w:r w:rsidRPr="00A365C1">
        <w:rPr>
          <w:b/>
        </w:rPr>
        <w:t xml:space="preserve">2.2 Risque de polypose </w:t>
      </w:r>
      <w:proofErr w:type="spellStart"/>
      <w:r w:rsidRPr="00A365C1">
        <w:rPr>
          <w:b/>
        </w:rPr>
        <w:t>adénomateuse</w:t>
      </w:r>
      <w:proofErr w:type="spellEnd"/>
      <w:r w:rsidRPr="00A365C1">
        <w:rPr>
          <w:b/>
        </w:rPr>
        <w:t xml:space="preserve">  / festonnée ou mixte colique</w:t>
      </w:r>
    </w:p>
    <w:p w14:paraId="4EAE8463" w14:textId="77777777" w:rsidR="00A365C1" w:rsidRPr="00A365C1" w:rsidRDefault="00A365C1" w:rsidP="00A365C1">
      <w:pPr>
        <w:spacing w:after="0" w:line="360" w:lineRule="auto"/>
        <w:jc w:val="both"/>
      </w:pPr>
      <w:r w:rsidRPr="00A365C1">
        <w:t xml:space="preserve">Il n’existe pas d’études estimant le risque de polypose </w:t>
      </w:r>
      <w:proofErr w:type="spellStart"/>
      <w:r w:rsidRPr="00A365C1">
        <w:t>adénomateuse</w:t>
      </w:r>
      <w:proofErr w:type="spellEnd"/>
      <w:r w:rsidRPr="00A365C1">
        <w:t xml:space="preserve"> colorectale ou aux polyposes festonnées associé aux duplications au locus SCG5-</w:t>
      </w:r>
      <w:r w:rsidRPr="00A365C1">
        <w:rPr>
          <w:i/>
        </w:rPr>
        <w:t>GREM1.</w:t>
      </w:r>
    </w:p>
    <w:p w14:paraId="1819B783" w14:textId="77777777" w:rsidR="00A365C1" w:rsidRPr="00A365C1" w:rsidRDefault="00A365C1" w:rsidP="00A365C1">
      <w:pPr>
        <w:spacing w:after="0" w:line="360" w:lineRule="auto"/>
        <w:jc w:val="both"/>
        <w:rPr>
          <w:b/>
        </w:rPr>
      </w:pPr>
      <w:r w:rsidRPr="00A365C1">
        <w:rPr>
          <w:b/>
        </w:rPr>
        <w:t>2.3 Risque d’adénomes / adénocarcinomes du duodénum </w:t>
      </w:r>
    </w:p>
    <w:p w14:paraId="2DA1E57F" w14:textId="77777777" w:rsidR="00A365C1" w:rsidRPr="00A365C1" w:rsidRDefault="00A365C1" w:rsidP="00A365C1">
      <w:pPr>
        <w:spacing w:after="0" w:line="360" w:lineRule="auto"/>
        <w:jc w:val="both"/>
      </w:pPr>
      <w:r w:rsidRPr="00A365C1">
        <w:t>Il n’existe pas d’études estimant le risque d’adénomes/adénocarcinomes du duodénum associé aux duplications au locus SCG5-</w:t>
      </w:r>
      <w:r w:rsidRPr="00A365C1">
        <w:rPr>
          <w:i/>
        </w:rPr>
        <w:t>GREM1</w:t>
      </w:r>
    </w:p>
    <w:p w14:paraId="36EE08DC" w14:textId="77777777" w:rsidR="00A365C1" w:rsidRPr="00A365C1" w:rsidRDefault="00A365C1" w:rsidP="00A365C1">
      <w:pPr>
        <w:spacing w:after="0" w:line="360" w:lineRule="auto"/>
        <w:jc w:val="both"/>
      </w:pPr>
    </w:p>
    <w:p w14:paraId="64D6C3F3" w14:textId="77777777" w:rsidR="00A365C1" w:rsidRPr="00A365C1" w:rsidRDefault="00A365C1" w:rsidP="00A365C1">
      <w:r w:rsidRPr="00A365C1">
        <w:t>En conséquence, il est établi que :</w:t>
      </w:r>
    </w:p>
    <w:p w14:paraId="1E282DED" w14:textId="5B6C71CD" w:rsidR="00A365C1" w:rsidRPr="00A365C1" w:rsidRDefault="00A365C1" w:rsidP="00A365C1">
      <w:pPr>
        <w:spacing w:after="0" w:line="360" w:lineRule="auto"/>
        <w:jc w:val="both"/>
      </w:pPr>
      <w:r w:rsidRPr="00A365C1">
        <w:t xml:space="preserve">Pour le risque de cancer </w:t>
      </w:r>
      <w:r w:rsidR="00CC4348" w:rsidRPr="00A365C1">
        <w:t>colorectal :</w:t>
      </w:r>
    </w:p>
    <w:p w14:paraId="06769F1D" w14:textId="77777777" w:rsidR="00A365C1" w:rsidRPr="00A365C1" w:rsidRDefault="00A365C1" w:rsidP="00A365C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A365C1">
        <w:rPr>
          <w:i/>
        </w:rPr>
        <w:t>Le niveau de risque de cancer colorectal chez les individus avec duplications au locus SCG5-GREM1 est inconnu.</w:t>
      </w:r>
    </w:p>
    <w:p w14:paraId="0FC2CFFD" w14:textId="77777777" w:rsidR="00A365C1" w:rsidRPr="00A365C1" w:rsidRDefault="00A365C1" w:rsidP="00A365C1">
      <w:pPr>
        <w:spacing w:after="0" w:line="360" w:lineRule="auto"/>
        <w:jc w:val="both"/>
      </w:pPr>
      <w:r w:rsidRPr="00A365C1">
        <w:t xml:space="preserve">Pour le risque de polypose </w:t>
      </w:r>
      <w:proofErr w:type="spellStart"/>
      <w:r w:rsidRPr="00A365C1">
        <w:t>adénomateuse</w:t>
      </w:r>
      <w:proofErr w:type="spellEnd"/>
      <w:r w:rsidRPr="00A365C1">
        <w:t xml:space="preserve"> ou de polypose festonnée colorectale : </w:t>
      </w:r>
    </w:p>
    <w:p w14:paraId="3FB1D615" w14:textId="77777777" w:rsidR="00A365C1" w:rsidRPr="00A365C1" w:rsidRDefault="00A365C1" w:rsidP="00A365C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A365C1">
        <w:rPr>
          <w:i/>
        </w:rPr>
        <w:t xml:space="preserve">Le niveau de risque de polypose </w:t>
      </w:r>
      <w:proofErr w:type="spellStart"/>
      <w:r w:rsidRPr="00A365C1">
        <w:rPr>
          <w:i/>
        </w:rPr>
        <w:t>adénomateuse</w:t>
      </w:r>
      <w:proofErr w:type="spellEnd"/>
      <w:r w:rsidRPr="00A365C1">
        <w:rPr>
          <w:i/>
        </w:rPr>
        <w:t xml:space="preserve"> colorectale ou de polypose festonnée chez les individus avec duplications au locus SCG5-GREM1 est inconnu.</w:t>
      </w:r>
    </w:p>
    <w:p w14:paraId="246EADCF" w14:textId="77777777" w:rsidR="00A365C1" w:rsidRPr="00A365C1" w:rsidRDefault="00A365C1" w:rsidP="00A365C1">
      <w:pPr>
        <w:spacing w:after="0" w:line="360" w:lineRule="auto"/>
        <w:jc w:val="both"/>
      </w:pPr>
      <w:r w:rsidRPr="00A365C1">
        <w:t xml:space="preserve">Pour le risque d’adénomes /adénocarcinomes du duodénum : </w:t>
      </w:r>
    </w:p>
    <w:p w14:paraId="450EB14B" w14:textId="77777777" w:rsidR="00A365C1" w:rsidRPr="00A365C1" w:rsidRDefault="00A365C1" w:rsidP="00A365C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A365C1">
        <w:rPr>
          <w:i/>
        </w:rPr>
        <w:t>Le niveau de risque d’adénomes / adénocarcinomes du duodénum chez les individus avec  duplications au locus SCG5-GREM1 est inconnu.</w:t>
      </w:r>
    </w:p>
    <w:p w14:paraId="5FB474F1" w14:textId="77777777" w:rsidR="00A365C1" w:rsidRPr="00A365C1" w:rsidRDefault="00A365C1" w:rsidP="00A365C1">
      <w:pPr>
        <w:pStyle w:val="Paragraphedeliste"/>
        <w:spacing w:after="0" w:line="360" w:lineRule="auto"/>
        <w:jc w:val="both"/>
        <w:rPr>
          <w:i/>
        </w:rPr>
      </w:pPr>
    </w:p>
    <w:p w14:paraId="28F73491" w14:textId="77777777" w:rsidR="00A365C1" w:rsidRPr="00A365C1" w:rsidRDefault="00A365C1" w:rsidP="00A365C1">
      <w:pPr>
        <w:spacing w:after="0" w:line="360" w:lineRule="auto"/>
        <w:jc w:val="both"/>
        <w:rPr>
          <w:b/>
          <w:sz w:val="24"/>
        </w:rPr>
      </w:pPr>
      <w:r w:rsidRPr="00A365C1">
        <w:rPr>
          <w:b/>
          <w:sz w:val="24"/>
        </w:rPr>
        <w:t xml:space="preserve">3 Avis concernant l’analyse/inclusion du gène </w:t>
      </w:r>
      <w:r w:rsidRPr="00A365C1">
        <w:rPr>
          <w:b/>
          <w:i/>
          <w:sz w:val="24"/>
        </w:rPr>
        <w:t xml:space="preserve">GREM1 </w:t>
      </w:r>
      <w:r w:rsidRPr="00A365C1">
        <w:rPr>
          <w:b/>
          <w:sz w:val="24"/>
        </w:rPr>
        <w:t xml:space="preserve">dans le panel « tube digestif » </w:t>
      </w:r>
    </w:p>
    <w:p w14:paraId="2EA8718C" w14:textId="77777777" w:rsidR="00A365C1" w:rsidRPr="00A365C1" w:rsidRDefault="00A365C1" w:rsidP="00A365C1">
      <w:pPr>
        <w:spacing w:after="0" w:line="360" w:lineRule="auto"/>
        <w:jc w:val="both"/>
        <w:rPr>
          <w:sz w:val="20"/>
        </w:rPr>
      </w:pPr>
      <w:r w:rsidRPr="00A365C1">
        <w:t xml:space="preserve">Le gène </w:t>
      </w:r>
      <w:r w:rsidRPr="00A365C1">
        <w:rPr>
          <w:i/>
        </w:rPr>
        <w:t>GREM1</w:t>
      </w:r>
      <w:r w:rsidRPr="00A365C1">
        <w:t xml:space="preserve"> et plus particulièrement la duplication intéressant le locus </w:t>
      </w:r>
      <w:r w:rsidRPr="00A365C1">
        <w:rPr>
          <w:i/>
        </w:rPr>
        <w:t>SCG5-GREM1</w:t>
      </w:r>
      <w:r w:rsidRPr="00A365C1">
        <w:t xml:space="preserve"> semble d’intérêt en raison de l’implication du gène dans la voie BMP.</w:t>
      </w:r>
      <w:r w:rsidRPr="00A365C1">
        <w:rPr>
          <w:sz w:val="20"/>
        </w:rPr>
        <w:t xml:space="preserve"> </w:t>
      </w:r>
    </w:p>
    <w:p w14:paraId="0F18DDA8" w14:textId="77777777" w:rsidR="00A365C1" w:rsidRPr="00A365C1" w:rsidRDefault="00A365C1" w:rsidP="00A365C1">
      <w:pPr>
        <w:spacing w:after="0" w:line="360" w:lineRule="auto"/>
        <w:jc w:val="both"/>
        <w:rPr>
          <w:sz w:val="20"/>
        </w:rPr>
      </w:pPr>
      <w:r w:rsidRPr="00A365C1">
        <w:t xml:space="preserve">Cependant, en l’état actuel des connaissances, aucune donnée n’est disponible sur le niveau de risque de cancers du tube digestif chez des individus qui seraient identifiés porteurs d’une duplication au locus SCG5-GREM1 dans le cadre d’une analyse pour une prédisposition héréditaire aux tumeurs du tube digestif. </w:t>
      </w:r>
    </w:p>
    <w:p w14:paraId="47FC28AF" w14:textId="77777777" w:rsidR="00A365C1" w:rsidRPr="00A365C1" w:rsidRDefault="00A365C1" w:rsidP="00A36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 w:rsidRPr="00A365C1">
        <w:rPr>
          <w:b/>
        </w:rPr>
        <w:lastRenderedPageBreak/>
        <w:t xml:space="preserve">En conséquence en l’absence d’utilité clinique reconnue, le gène </w:t>
      </w:r>
      <w:r w:rsidRPr="00A365C1">
        <w:rPr>
          <w:b/>
          <w:i/>
        </w:rPr>
        <w:t xml:space="preserve">GREM1 </w:t>
      </w:r>
      <w:r w:rsidRPr="00A365C1">
        <w:rPr>
          <w:b/>
        </w:rPr>
        <w:t>n’est pas inclus dans le panel de gènes diagnostic « tube digestif »</w:t>
      </w:r>
      <w:r w:rsidRPr="00A365C1">
        <w:t xml:space="preserve">. </w:t>
      </w:r>
    </w:p>
    <w:p w14:paraId="2FB19353" w14:textId="77777777" w:rsidR="00A365C1" w:rsidRPr="00A365C1" w:rsidRDefault="00A365C1" w:rsidP="00A365C1">
      <w:pPr>
        <w:spacing w:after="0" w:line="360" w:lineRule="auto"/>
        <w:jc w:val="both"/>
      </w:pPr>
    </w:p>
    <w:p w14:paraId="4A6D9126" w14:textId="77777777" w:rsidR="00A365C1" w:rsidRPr="00A365C1" w:rsidRDefault="00A365C1" w:rsidP="00A365C1">
      <w:pPr>
        <w:spacing w:after="0" w:line="360" w:lineRule="auto"/>
        <w:jc w:val="both"/>
      </w:pPr>
    </w:p>
    <w:p w14:paraId="686628E8" w14:textId="77777777" w:rsidR="00A365C1" w:rsidRPr="00A365C1" w:rsidRDefault="00A365C1" w:rsidP="00A365C1">
      <w:pPr>
        <w:spacing w:after="0" w:line="360" w:lineRule="auto"/>
        <w:jc w:val="both"/>
        <w:rPr>
          <w:sz w:val="24"/>
          <w:szCs w:val="24"/>
        </w:rPr>
      </w:pPr>
      <w:r w:rsidRPr="00A365C1">
        <w:rPr>
          <w:b/>
          <w:sz w:val="24"/>
          <w:szCs w:val="24"/>
        </w:rPr>
        <w:t>4 Conduite à tenir chez un individu porteur d’une mutation constitutionnelle du gène </w:t>
      </w:r>
      <w:r w:rsidRPr="00A365C1">
        <w:rPr>
          <w:b/>
          <w:i/>
          <w:sz w:val="24"/>
          <w:szCs w:val="24"/>
        </w:rPr>
        <w:t>GREM1</w:t>
      </w:r>
      <w:r w:rsidRPr="00A365C1">
        <w:rPr>
          <w:b/>
          <w:sz w:val="24"/>
          <w:szCs w:val="24"/>
        </w:rPr>
        <w:t xml:space="preserve"> identifiée avant la publication des présentes recommandations (projets pilotes d’analyses en panel de gènes)</w:t>
      </w:r>
      <w:r w:rsidRPr="00A365C1">
        <w:rPr>
          <w:sz w:val="24"/>
          <w:szCs w:val="24"/>
        </w:rPr>
        <w:t xml:space="preserve"> :</w:t>
      </w:r>
    </w:p>
    <w:p w14:paraId="323C3EC6" w14:textId="77777777" w:rsidR="00A365C1" w:rsidRPr="00A365C1" w:rsidRDefault="00A365C1" w:rsidP="00A365C1">
      <w:pPr>
        <w:spacing w:after="0" w:line="360" w:lineRule="auto"/>
        <w:jc w:val="both"/>
        <w:rPr>
          <w:b/>
        </w:rPr>
      </w:pPr>
    </w:p>
    <w:p w14:paraId="4C40FA63" w14:textId="77777777" w:rsidR="00A365C1" w:rsidRPr="00A365C1" w:rsidRDefault="00A365C1" w:rsidP="00A365C1">
      <w:pPr>
        <w:spacing w:after="0" w:line="360" w:lineRule="auto"/>
        <w:jc w:val="both"/>
        <w:rPr>
          <w:b/>
        </w:rPr>
      </w:pPr>
      <w:r w:rsidRPr="00A365C1">
        <w:rPr>
          <w:b/>
        </w:rPr>
        <w:t>4.1 Conduite à tenir chez un individu porteur d’une duplication au locus SCG5-</w:t>
      </w:r>
      <w:r w:rsidRPr="00A365C1">
        <w:rPr>
          <w:b/>
          <w:i/>
        </w:rPr>
        <w:t xml:space="preserve">GREM1 </w:t>
      </w:r>
      <w:r w:rsidRPr="00A365C1">
        <w:rPr>
          <w:b/>
        </w:rPr>
        <w:t>mise en évidence dans un contexte de polypose (</w:t>
      </w:r>
      <w:proofErr w:type="spellStart"/>
      <w:r w:rsidRPr="00A365C1">
        <w:rPr>
          <w:b/>
        </w:rPr>
        <w:t>adénomateuse</w:t>
      </w:r>
      <w:proofErr w:type="spellEnd"/>
      <w:r w:rsidRPr="00A365C1">
        <w:rPr>
          <w:b/>
        </w:rPr>
        <w:t xml:space="preserve">, festonnée ou mixte) ou d’agrégation familiale de CCR:  </w:t>
      </w:r>
    </w:p>
    <w:p w14:paraId="73D2743D" w14:textId="77777777" w:rsidR="00A365C1" w:rsidRPr="00A365C1" w:rsidRDefault="00A365C1" w:rsidP="00A365C1">
      <w:pPr>
        <w:spacing w:after="0" w:line="360" w:lineRule="auto"/>
        <w:jc w:val="both"/>
      </w:pPr>
      <w:r w:rsidRPr="00A365C1">
        <w:t>Il convient de poursuivre la surveillance endoscopique requise compte tenu du phénotype digestif pathologique.</w:t>
      </w:r>
    </w:p>
    <w:p w14:paraId="6BC244EA" w14:textId="77777777" w:rsidR="00A365C1" w:rsidRPr="00A365C1" w:rsidRDefault="00A365C1" w:rsidP="00A365C1">
      <w:pPr>
        <w:spacing w:after="0" w:line="360" w:lineRule="auto"/>
        <w:jc w:val="both"/>
        <w:rPr>
          <w:strike/>
        </w:rPr>
      </w:pPr>
      <w:r w:rsidRPr="00A365C1">
        <w:rPr>
          <w:b/>
        </w:rPr>
        <w:t>* </w:t>
      </w:r>
      <w:r w:rsidRPr="00A365C1">
        <w:t>D’une façon générale, l’indication et les modalités de la surveillance colorectale reposent sur les caractéristiques de l’histoire personnelle (phénotype colique) et/ou familiale, conformément aux recommandations des référentiels HAS, OMS (polypose festonnée) et des sociétés savantes.</w:t>
      </w:r>
    </w:p>
    <w:p w14:paraId="16DAAF7C" w14:textId="77777777" w:rsidR="00A365C1" w:rsidRPr="00A365C1" w:rsidRDefault="00A365C1" w:rsidP="00A365C1">
      <w:pPr>
        <w:spacing w:after="0" w:line="360" w:lineRule="auto"/>
        <w:jc w:val="both"/>
        <w:rPr>
          <w:strike/>
        </w:rPr>
      </w:pPr>
      <w:r w:rsidRPr="00A365C1">
        <w:rPr>
          <w:b/>
        </w:rPr>
        <w:t>* </w:t>
      </w:r>
      <w:r w:rsidRPr="00A365C1">
        <w:t xml:space="preserve">Mise en place d’une surveillance endoscopique du tube digestif supérieur en cas de polypose </w:t>
      </w:r>
      <w:proofErr w:type="spellStart"/>
      <w:r w:rsidRPr="00A365C1">
        <w:t>adénomateuse</w:t>
      </w:r>
      <w:proofErr w:type="spellEnd"/>
      <w:r w:rsidRPr="00A365C1">
        <w:t xml:space="preserve"> colorectale/ polypes </w:t>
      </w:r>
      <w:proofErr w:type="spellStart"/>
      <w:r w:rsidRPr="00A365C1">
        <w:t>adénomateux</w:t>
      </w:r>
      <w:proofErr w:type="spellEnd"/>
      <w:r w:rsidRPr="00A365C1">
        <w:t xml:space="preserve"> multiples, conformément aux recommandations des référentiels HAS et des sociétés savantes. </w:t>
      </w:r>
    </w:p>
    <w:p w14:paraId="5E8ADFDE" w14:textId="77777777" w:rsidR="00A365C1" w:rsidRPr="00A365C1" w:rsidRDefault="00A365C1" w:rsidP="00A365C1">
      <w:pPr>
        <w:spacing w:after="0" w:line="360" w:lineRule="auto"/>
        <w:jc w:val="both"/>
      </w:pPr>
      <w:r w:rsidRPr="00A365C1">
        <w:rPr>
          <w:b/>
        </w:rPr>
        <w:t>* </w:t>
      </w:r>
      <w:r w:rsidRPr="00A365C1">
        <w:t>Information de la personne sur l’insuffisance des connaissances relatives à la contribution des mutations identifiées  dans le phénotype digestif conduisant à ne pas proposer de tests ciblés chez les apparentés.</w:t>
      </w:r>
    </w:p>
    <w:p w14:paraId="10BB2DDB" w14:textId="77777777" w:rsidR="00A365C1" w:rsidRPr="00A365C1" w:rsidRDefault="00A365C1" w:rsidP="00A365C1">
      <w:pPr>
        <w:jc w:val="both"/>
        <w:rPr>
          <w:b/>
        </w:rPr>
      </w:pPr>
    </w:p>
    <w:p w14:paraId="77DAD4BD" w14:textId="77777777" w:rsidR="00A365C1" w:rsidRPr="00A365C1" w:rsidRDefault="00A365C1" w:rsidP="00A365C1">
      <w:pPr>
        <w:jc w:val="both"/>
        <w:rPr>
          <w:b/>
        </w:rPr>
      </w:pPr>
      <w:r w:rsidRPr="00A365C1">
        <w:rPr>
          <w:b/>
        </w:rPr>
        <w:t>4.2 Conduite à tenir chez un individu porteur d’une duplication au locus SCG5-</w:t>
      </w:r>
      <w:r w:rsidRPr="00A365C1">
        <w:rPr>
          <w:b/>
          <w:i/>
        </w:rPr>
        <w:t xml:space="preserve">GREM1 </w:t>
      </w:r>
      <w:r w:rsidRPr="00A365C1">
        <w:rPr>
          <w:b/>
        </w:rPr>
        <w:t>identifiée en dehors d’un contexte personnel ou familial de tumeurs du tube digestif.</w:t>
      </w:r>
    </w:p>
    <w:p w14:paraId="212060FB" w14:textId="77777777" w:rsidR="00A365C1" w:rsidRPr="00A365C1" w:rsidRDefault="00A365C1" w:rsidP="00A365C1">
      <w:pPr>
        <w:spacing w:after="0" w:line="360" w:lineRule="auto"/>
        <w:jc w:val="both"/>
      </w:pPr>
      <w:r w:rsidRPr="00A365C1">
        <w:t xml:space="preserve">* Bilan endoscopique digestif de référence à l’âge adulte par coloscopie totale avec chromo endoscopie et fibroscopie </w:t>
      </w:r>
      <w:proofErr w:type="spellStart"/>
      <w:r w:rsidRPr="00A365C1">
        <w:t>oeso</w:t>
      </w:r>
      <w:proofErr w:type="spellEnd"/>
      <w:r w:rsidRPr="00A365C1">
        <w:t>-</w:t>
      </w:r>
      <w:proofErr w:type="spellStart"/>
      <w:r w:rsidRPr="00A365C1">
        <w:t>gastro-duodénale</w:t>
      </w:r>
      <w:proofErr w:type="spellEnd"/>
      <w:r w:rsidRPr="00A365C1">
        <w:t>.</w:t>
      </w:r>
    </w:p>
    <w:p w14:paraId="72353CA5" w14:textId="77777777" w:rsidR="00A365C1" w:rsidRPr="00A365C1" w:rsidRDefault="00A365C1" w:rsidP="00A365C1">
      <w:pPr>
        <w:spacing w:after="0" w:line="360" w:lineRule="auto"/>
        <w:jc w:val="both"/>
      </w:pPr>
      <w:r w:rsidRPr="00A365C1">
        <w:t>* Suite de la prise en charge basée sur les constatations de cette exploration</w:t>
      </w:r>
    </w:p>
    <w:p w14:paraId="7F64805F" w14:textId="77777777" w:rsidR="00A365C1" w:rsidRPr="00A365C1" w:rsidRDefault="00A365C1" w:rsidP="00A365C1">
      <w:pPr>
        <w:spacing w:after="0" w:line="360" w:lineRule="auto"/>
        <w:jc w:val="both"/>
      </w:pPr>
    </w:p>
    <w:p w14:paraId="4D9DB538" w14:textId="77777777" w:rsidR="00A365C1" w:rsidRPr="00A365C1" w:rsidRDefault="00A365C1" w:rsidP="00A365C1">
      <w:pPr>
        <w:spacing w:after="0" w:line="360" w:lineRule="auto"/>
        <w:jc w:val="both"/>
        <w:rPr>
          <w:b/>
          <w:sz w:val="24"/>
          <w:szCs w:val="24"/>
        </w:rPr>
      </w:pPr>
      <w:r w:rsidRPr="00A365C1">
        <w:rPr>
          <w:b/>
          <w:sz w:val="24"/>
          <w:szCs w:val="24"/>
        </w:rPr>
        <w:t xml:space="preserve">5 Indication de tests ciblés chez les apparentés de patients avec polypose / cancers digestifs et mutations du gène </w:t>
      </w:r>
      <w:r w:rsidRPr="00A365C1">
        <w:rPr>
          <w:b/>
          <w:i/>
          <w:sz w:val="24"/>
          <w:szCs w:val="24"/>
        </w:rPr>
        <w:t>GREM1</w:t>
      </w:r>
    </w:p>
    <w:p w14:paraId="363E1729" w14:textId="77777777" w:rsidR="00A365C1" w:rsidRPr="00A365C1" w:rsidRDefault="00A365C1" w:rsidP="00A365C1">
      <w:pPr>
        <w:spacing w:after="0" w:line="360" w:lineRule="auto"/>
        <w:jc w:val="both"/>
      </w:pPr>
      <w:r w:rsidRPr="00A365C1">
        <w:lastRenderedPageBreak/>
        <w:t>* Pas d’indication de tests ciblés compte tenu de l’incertitude concernant la contribution du génotype dans le phénotype digestif.</w:t>
      </w:r>
    </w:p>
    <w:p w14:paraId="070B565E" w14:textId="77777777" w:rsidR="00A365C1" w:rsidRPr="00A365C1" w:rsidRDefault="00A365C1" w:rsidP="00A365C1">
      <w:pPr>
        <w:spacing w:after="0" w:line="360" w:lineRule="auto"/>
        <w:jc w:val="both"/>
      </w:pPr>
      <w:r w:rsidRPr="00A365C1">
        <w:t>* L’absence de mutation ne permet pas de lever la surveillance endoscopique digestive chez les apparentés.</w:t>
      </w:r>
    </w:p>
    <w:p w14:paraId="58FCF8CA" w14:textId="77777777" w:rsidR="00A365C1" w:rsidRPr="00A365C1" w:rsidRDefault="00A365C1" w:rsidP="00A365C1">
      <w:pPr>
        <w:spacing w:after="0" w:line="360" w:lineRule="auto"/>
        <w:jc w:val="both"/>
      </w:pPr>
    </w:p>
    <w:p w14:paraId="7BE13066" w14:textId="77777777" w:rsidR="00A365C1" w:rsidRPr="00A365C1" w:rsidRDefault="00A365C1" w:rsidP="00A365C1">
      <w:pPr>
        <w:spacing w:after="0" w:line="360" w:lineRule="auto"/>
        <w:jc w:val="both"/>
        <w:rPr>
          <w:b/>
          <w:sz w:val="24"/>
        </w:rPr>
      </w:pPr>
      <w:r w:rsidRPr="00A365C1">
        <w:rPr>
          <w:b/>
          <w:sz w:val="24"/>
        </w:rPr>
        <w:t>6 Autres préconisations et perspectives</w:t>
      </w:r>
    </w:p>
    <w:p w14:paraId="090AC327" w14:textId="77777777" w:rsidR="00A365C1" w:rsidRPr="00A365C1" w:rsidRDefault="00A365C1" w:rsidP="00A365C1">
      <w:pPr>
        <w:spacing w:after="0" w:line="360" w:lineRule="auto"/>
        <w:jc w:val="both"/>
      </w:pPr>
      <w:r w:rsidRPr="00A365C1">
        <w:t xml:space="preserve">* Inclusion dans un </w:t>
      </w:r>
      <w:r w:rsidRPr="00A365C1">
        <w:rPr>
          <w:b/>
        </w:rPr>
        <w:t>programme de recherche prioritaire</w:t>
      </w:r>
      <w:r w:rsidRPr="00A365C1">
        <w:t xml:space="preserve"> visant à :</w:t>
      </w:r>
    </w:p>
    <w:p w14:paraId="7CED59A6" w14:textId="77777777" w:rsidR="00A365C1" w:rsidRPr="00A365C1" w:rsidRDefault="00A365C1" w:rsidP="00A365C1">
      <w:pPr>
        <w:spacing w:after="0" w:line="360" w:lineRule="auto"/>
        <w:jc w:val="both"/>
        <w:rPr>
          <w:i/>
        </w:rPr>
      </w:pPr>
      <w:r w:rsidRPr="00A365C1">
        <w:t>i) préciser les phénotypes associés aux mutations du gène</w:t>
      </w:r>
      <w:r w:rsidRPr="00A365C1">
        <w:rPr>
          <w:i/>
        </w:rPr>
        <w:t xml:space="preserve"> GREM1.</w:t>
      </w:r>
    </w:p>
    <w:p w14:paraId="38953522" w14:textId="77777777" w:rsidR="00A365C1" w:rsidRPr="00A365C1" w:rsidRDefault="00A365C1" w:rsidP="00A365C1">
      <w:pPr>
        <w:spacing w:after="0" w:line="360" w:lineRule="auto"/>
        <w:jc w:val="both"/>
      </w:pPr>
      <w:r w:rsidRPr="00A365C1">
        <w:t>ii) évaluer la contribution du génotype au phénotype digestif</w:t>
      </w:r>
    </w:p>
    <w:p w14:paraId="4F242EB2" w14:textId="77777777" w:rsidR="00A365C1" w:rsidRPr="00A365C1" w:rsidRDefault="00A365C1" w:rsidP="00A365C1">
      <w:pPr>
        <w:spacing w:after="0" w:line="360" w:lineRule="auto"/>
        <w:jc w:val="both"/>
      </w:pPr>
      <w:r w:rsidRPr="00A365C1">
        <w:t>iii) estimer les risques absolus de polypose et de cancers colorectaux et duodénaux.</w:t>
      </w:r>
    </w:p>
    <w:p w14:paraId="3A20383C" w14:textId="77777777" w:rsidR="00A365C1" w:rsidRPr="00A365C1" w:rsidRDefault="00A365C1" w:rsidP="00A365C1">
      <w:pPr>
        <w:spacing w:after="0" w:line="360" w:lineRule="auto"/>
        <w:jc w:val="both"/>
      </w:pPr>
      <w:proofErr w:type="spellStart"/>
      <w:r w:rsidRPr="00A365C1">
        <w:t>iiii</w:t>
      </w:r>
      <w:proofErr w:type="spellEnd"/>
      <w:r w:rsidRPr="00A365C1">
        <w:t xml:space="preserve">) évaluer la présence d’autres </w:t>
      </w:r>
      <w:proofErr w:type="spellStart"/>
      <w:r w:rsidRPr="00A365C1">
        <w:t>CNVs</w:t>
      </w:r>
      <w:proofErr w:type="spellEnd"/>
      <w:r w:rsidRPr="00A365C1">
        <w:t xml:space="preserve"> à ce locus</w:t>
      </w:r>
    </w:p>
    <w:p w14:paraId="011A19E9" w14:textId="77777777" w:rsidR="00A365C1" w:rsidRPr="00A365C1" w:rsidRDefault="00A365C1" w:rsidP="00A365C1">
      <w:pPr>
        <w:spacing w:after="0" w:line="360" w:lineRule="auto"/>
        <w:jc w:val="both"/>
      </w:pPr>
      <w:r w:rsidRPr="00A365C1">
        <w:t xml:space="preserve">* Importance de la </w:t>
      </w:r>
      <w:r w:rsidRPr="00A365C1">
        <w:rPr>
          <w:b/>
        </w:rPr>
        <w:t>veille bibliographique</w:t>
      </w:r>
      <w:r w:rsidRPr="00A365C1">
        <w:t xml:space="preserve"> et réévaluation à court terme (horizon 2019) de l’utilité clinique</w:t>
      </w:r>
    </w:p>
    <w:p w14:paraId="6160B764" w14:textId="77777777" w:rsidR="00A365C1" w:rsidRPr="00A365C1" w:rsidRDefault="00A365C1" w:rsidP="00A365C1">
      <w:pPr>
        <w:spacing w:after="0" w:line="360" w:lineRule="auto"/>
        <w:jc w:val="both"/>
        <w:rPr>
          <w:i/>
        </w:rPr>
      </w:pPr>
      <w:r w:rsidRPr="00A365C1">
        <w:t xml:space="preserve">*Pas d’indication de test constitutionnel chez les patients chez qui a été identifiée une mutation tumorale du gène </w:t>
      </w:r>
      <w:r w:rsidRPr="00A365C1">
        <w:rPr>
          <w:i/>
        </w:rPr>
        <w:t>GREM1</w:t>
      </w:r>
    </w:p>
    <w:p w14:paraId="56685690" w14:textId="77777777" w:rsidR="00A365C1" w:rsidRPr="00A365C1" w:rsidRDefault="00A365C1" w:rsidP="00A365C1">
      <w:pPr>
        <w:spacing w:after="0" w:line="360" w:lineRule="auto"/>
        <w:jc w:val="both"/>
      </w:pPr>
    </w:p>
    <w:p w14:paraId="7BCDB271" w14:textId="77777777" w:rsidR="00A365C1" w:rsidRPr="00A365C1" w:rsidRDefault="00A365C1" w:rsidP="00A365C1">
      <w:pPr>
        <w:spacing w:after="0" w:line="360" w:lineRule="auto"/>
        <w:jc w:val="both"/>
      </w:pPr>
    </w:p>
    <w:p w14:paraId="1D439AFB" w14:textId="77777777" w:rsidR="00A365C1" w:rsidRPr="00A365C1" w:rsidRDefault="00A365C1" w:rsidP="00A365C1">
      <w:pPr>
        <w:spacing w:after="0" w:line="360" w:lineRule="auto"/>
        <w:jc w:val="both"/>
        <w:rPr>
          <w:sz w:val="20"/>
        </w:rPr>
      </w:pPr>
    </w:p>
    <w:p w14:paraId="2EAB7075" w14:textId="7E1387A7" w:rsidR="00934537" w:rsidRPr="00A365C1" w:rsidRDefault="00934537" w:rsidP="00133C41">
      <w:pPr>
        <w:pStyle w:val="Paragraphedeliste"/>
        <w:spacing w:after="0" w:line="360" w:lineRule="auto"/>
        <w:jc w:val="both"/>
      </w:pPr>
    </w:p>
    <w:sectPr w:rsidR="00934537" w:rsidRPr="00A365C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9E621" w14:textId="77777777" w:rsidR="00CD65A1" w:rsidRDefault="00CD65A1" w:rsidP="00510A2D">
      <w:pPr>
        <w:spacing w:after="0" w:line="240" w:lineRule="auto"/>
      </w:pPr>
      <w:r>
        <w:separator/>
      </w:r>
    </w:p>
  </w:endnote>
  <w:endnote w:type="continuationSeparator" w:id="0">
    <w:p w14:paraId="1C94549E" w14:textId="77777777" w:rsidR="00CD65A1" w:rsidRDefault="00CD65A1" w:rsidP="0051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A9DB8" w14:textId="50C2F46D" w:rsidR="00364505" w:rsidRDefault="00364505">
    <w:pPr>
      <w:pStyle w:val="Pieddepage"/>
    </w:pPr>
    <w:r>
      <w:t>GGC – TUBE</w:t>
    </w:r>
    <w:r>
      <w:tab/>
    </w:r>
    <w:r>
      <w:tab/>
    </w:r>
    <w:r w:rsidR="00133C41">
      <w:t>20/02/2019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BC11B" w14:textId="77777777" w:rsidR="00CD65A1" w:rsidRDefault="00CD65A1" w:rsidP="00510A2D">
      <w:pPr>
        <w:spacing w:after="0" w:line="240" w:lineRule="auto"/>
      </w:pPr>
      <w:r>
        <w:separator/>
      </w:r>
    </w:p>
  </w:footnote>
  <w:footnote w:type="continuationSeparator" w:id="0">
    <w:p w14:paraId="22DCB687" w14:textId="77777777" w:rsidR="00CD65A1" w:rsidRDefault="00CD65A1" w:rsidP="00510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19F9B" w14:textId="35D1C007" w:rsidR="00364505" w:rsidRDefault="00364505">
    <w:pPr>
      <w:pStyle w:val="En-tte"/>
    </w:pPr>
    <w:r>
      <w:rPr>
        <w:rFonts w:ascii="Times New Roman" w:hAnsi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B1360E8" wp14:editId="757693FE">
              <wp:simplePos x="0" y="0"/>
              <wp:positionH relativeFrom="column">
                <wp:posOffset>-962025</wp:posOffset>
              </wp:positionH>
              <wp:positionV relativeFrom="paragraph">
                <wp:posOffset>3876040</wp:posOffset>
              </wp:positionV>
              <wp:extent cx="7818120" cy="1154430"/>
              <wp:effectExtent l="2245995" t="0" r="2238375" b="0"/>
              <wp:wrapNone/>
              <wp:docPr id="307" name="Zone de text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8576538">
                        <a:off x="0" y="0"/>
                        <a:ext cx="7818120" cy="1154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79A802" w14:textId="77777777" w:rsidR="00364505" w:rsidRDefault="00364505" w:rsidP="00364505">
                          <w:pPr>
                            <w:jc w:val="center"/>
                            <w:rPr>
                              <w:b/>
                              <w:color w:val="F2F2F2" w:themeColor="background1" w:themeShade="F2"/>
                              <w:sz w:val="96"/>
                              <w:szCs w:val="96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F2F2F2" w:themeColor="background1" w:themeShade="F2"/>
                              <w:sz w:val="96"/>
                              <w:szCs w:val="96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GGC – document de travail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1360E8" id="_x0000_t202" coordsize="21600,21600" o:spt="202" path="m,l,21600r21600,l21600,xe">
              <v:stroke joinstyle="miter"/>
              <v:path gradientshapeok="t" o:connecttype="rect"/>
            </v:shapetype>
            <v:shape id="Zone de texte 307" o:spid="_x0000_s1026" type="#_x0000_t202" style="position:absolute;margin-left:-75.75pt;margin-top:305.2pt;width:615.6pt;height:90.9pt;rotation:-3302427fd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" filled="f" stroked="f">
              <v:textbox style="mso-fit-shape-to-text:t">
                <w:txbxContent>
                  <w:p w14:paraId="3179A802" w14:textId="77777777" w:rsidR="00364505" w:rsidRDefault="00364505" w:rsidP="00364505">
                    <w:pPr>
                      <w:jc w:val="center"/>
                      <w:rPr>
                        <w:b/>
                        <w:color w:val="F2F2F2" w:themeColor="background1" w:themeShade="F2"/>
                        <w:sz w:val="96"/>
                        <w:szCs w:val="96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color w:val="F2F2F2" w:themeColor="background1" w:themeShade="F2"/>
                        <w:sz w:val="96"/>
                        <w:szCs w:val="96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GGC – document de travail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rPr>
        <w:noProof/>
        <w:lang w:eastAsia="fr-FR"/>
      </w:rPr>
      <w:drawing>
        <wp:inline distT="0" distB="0" distL="0" distR="0" wp14:anchorId="5278E092" wp14:editId="5941366C">
          <wp:extent cx="638175" cy="638175"/>
          <wp:effectExtent l="0" t="0" r="9525" b="9525"/>
          <wp:docPr id="1" name="Image 1" descr="C:\Users\jamain\AppData\Local\Microsoft\Windows\INetCache\Content.Word\Logo_GGC_RVB ONCO GENETIQ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main\AppData\Local\Microsoft\Windows\INetCache\Content.Word\Logo_GGC_RVB ONCO GENETIQ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2AE8"/>
    <w:multiLevelType w:val="hybridMultilevel"/>
    <w:tmpl w:val="134CBDFC"/>
    <w:lvl w:ilvl="0" w:tplc="18C459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92149"/>
    <w:multiLevelType w:val="hybridMultilevel"/>
    <w:tmpl w:val="F3246958"/>
    <w:lvl w:ilvl="0" w:tplc="C010A6C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22F77"/>
    <w:multiLevelType w:val="hybridMultilevel"/>
    <w:tmpl w:val="9EF0F812"/>
    <w:lvl w:ilvl="0" w:tplc="E3FA84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26F0B"/>
    <w:multiLevelType w:val="hybridMultilevel"/>
    <w:tmpl w:val="6FAED266"/>
    <w:lvl w:ilvl="0" w:tplc="29307D66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60C66"/>
    <w:multiLevelType w:val="hybridMultilevel"/>
    <w:tmpl w:val="7C867EB2"/>
    <w:lvl w:ilvl="0" w:tplc="59B020F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668DB"/>
    <w:multiLevelType w:val="hybridMultilevel"/>
    <w:tmpl w:val="8C923902"/>
    <w:lvl w:ilvl="0" w:tplc="073242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123EE"/>
    <w:multiLevelType w:val="hybridMultilevel"/>
    <w:tmpl w:val="403A5300"/>
    <w:lvl w:ilvl="0" w:tplc="64E04A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E464A"/>
    <w:multiLevelType w:val="hybridMultilevel"/>
    <w:tmpl w:val="7B7A71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17B63"/>
    <w:multiLevelType w:val="hybridMultilevel"/>
    <w:tmpl w:val="CB2CF3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BE"/>
    <w:rsid w:val="00024863"/>
    <w:rsid w:val="0003616B"/>
    <w:rsid w:val="000E2C2B"/>
    <w:rsid w:val="001219F6"/>
    <w:rsid w:val="00125F6B"/>
    <w:rsid w:val="00133C41"/>
    <w:rsid w:val="001664F6"/>
    <w:rsid w:val="00185F25"/>
    <w:rsid w:val="001939DE"/>
    <w:rsid w:val="0019740A"/>
    <w:rsid w:val="001A2306"/>
    <w:rsid w:val="001C36E9"/>
    <w:rsid w:val="001C45E7"/>
    <w:rsid w:val="001F7D19"/>
    <w:rsid w:val="00200B0C"/>
    <w:rsid w:val="002222A1"/>
    <w:rsid w:val="002321B0"/>
    <w:rsid w:val="00237185"/>
    <w:rsid w:val="00244A41"/>
    <w:rsid w:val="00271029"/>
    <w:rsid w:val="00286667"/>
    <w:rsid w:val="002B02AD"/>
    <w:rsid w:val="002B7DFD"/>
    <w:rsid w:val="00364505"/>
    <w:rsid w:val="003738BE"/>
    <w:rsid w:val="003A62AD"/>
    <w:rsid w:val="003B0C46"/>
    <w:rsid w:val="004A0B4C"/>
    <w:rsid w:val="004D6880"/>
    <w:rsid w:val="004E5107"/>
    <w:rsid w:val="00510A2D"/>
    <w:rsid w:val="005503EA"/>
    <w:rsid w:val="005A5B14"/>
    <w:rsid w:val="005D0F4B"/>
    <w:rsid w:val="00612AEF"/>
    <w:rsid w:val="00620F72"/>
    <w:rsid w:val="006327E1"/>
    <w:rsid w:val="0065033D"/>
    <w:rsid w:val="0066038F"/>
    <w:rsid w:val="00677E55"/>
    <w:rsid w:val="006909B3"/>
    <w:rsid w:val="006A4F14"/>
    <w:rsid w:val="006F5A4E"/>
    <w:rsid w:val="00702158"/>
    <w:rsid w:val="00711EA8"/>
    <w:rsid w:val="00746002"/>
    <w:rsid w:val="007A186D"/>
    <w:rsid w:val="008056FC"/>
    <w:rsid w:val="008446F9"/>
    <w:rsid w:val="00852E95"/>
    <w:rsid w:val="008640A0"/>
    <w:rsid w:val="008A166F"/>
    <w:rsid w:val="008E7B91"/>
    <w:rsid w:val="008F6FD2"/>
    <w:rsid w:val="00934537"/>
    <w:rsid w:val="00941FF0"/>
    <w:rsid w:val="00954ABB"/>
    <w:rsid w:val="00962F52"/>
    <w:rsid w:val="009763FC"/>
    <w:rsid w:val="00994EE4"/>
    <w:rsid w:val="00997474"/>
    <w:rsid w:val="009C0719"/>
    <w:rsid w:val="009E1806"/>
    <w:rsid w:val="00A11440"/>
    <w:rsid w:val="00A171B2"/>
    <w:rsid w:val="00A365C1"/>
    <w:rsid w:val="00A440D6"/>
    <w:rsid w:val="00A60CE7"/>
    <w:rsid w:val="00A8674B"/>
    <w:rsid w:val="00AA3C4E"/>
    <w:rsid w:val="00AF11BD"/>
    <w:rsid w:val="00B36081"/>
    <w:rsid w:val="00B861EF"/>
    <w:rsid w:val="00BB2A70"/>
    <w:rsid w:val="00BC70CA"/>
    <w:rsid w:val="00C14902"/>
    <w:rsid w:val="00C2431A"/>
    <w:rsid w:val="00C50EA2"/>
    <w:rsid w:val="00C54B11"/>
    <w:rsid w:val="00CA15F8"/>
    <w:rsid w:val="00CC083A"/>
    <w:rsid w:val="00CC122A"/>
    <w:rsid w:val="00CC4348"/>
    <w:rsid w:val="00CD3DD2"/>
    <w:rsid w:val="00CD65A1"/>
    <w:rsid w:val="00CD7F44"/>
    <w:rsid w:val="00D23ACD"/>
    <w:rsid w:val="00D7180E"/>
    <w:rsid w:val="00D80F13"/>
    <w:rsid w:val="00D83277"/>
    <w:rsid w:val="00D9047E"/>
    <w:rsid w:val="00DD62D4"/>
    <w:rsid w:val="00DE5C56"/>
    <w:rsid w:val="00E22A77"/>
    <w:rsid w:val="00E30FB9"/>
    <w:rsid w:val="00E329B7"/>
    <w:rsid w:val="00E61A73"/>
    <w:rsid w:val="00E6201D"/>
    <w:rsid w:val="00E82E95"/>
    <w:rsid w:val="00E86D23"/>
    <w:rsid w:val="00EB1C20"/>
    <w:rsid w:val="00EE4526"/>
    <w:rsid w:val="00F105FC"/>
    <w:rsid w:val="00F32B29"/>
    <w:rsid w:val="00F85212"/>
    <w:rsid w:val="00F8684A"/>
    <w:rsid w:val="00FA2B02"/>
    <w:rsid w:val="00FE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FF7868"/>
  <w15:docId w15:val="{1700CF69-8E23-4E57-8CF6-B7AFD8C4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5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2AE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0A2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0A2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0A2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64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4505"/>
  </w:style>
  <w:style w:type="paragraph" w:styleId="Pieddepage">
    <w:name w:val="footer"/>
    <w:basedOn w:val="Normal"/>
    <w:link w:val="PieddepageCar"/>
    <w:uiPriority w:val="99"/>
    <w:unhideWhenUsed/>
    <w:rsid w:val="00364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4505"/>
  </w:style>
  <w:style w:type="paragraph" w:styleId="Textedebulles">
    <w:name w:val="Balloon Text"/>
    <w:basedOn w:val="Normal"/>
    <w:link w:val="TextedebullesCar"/>
    <w:uiPriority w:val="99"/>
    <w:semiHidden/>
    <w:unhideWhenUsed/>
    <w:rsid w:val="00702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2158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Policepardfaut"/>
    <w:rsid w:val="00A36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Ziai+2016+GREM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?term=Venkatachalam+grem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cbi.nlm.nih.gov/pubmed/?term=GREM1+2016+rohl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?term=Leitman+familial+colorectalcancer+201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19818-EAF9-401B-9DDD-84DA07CB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Léon Bérard</Company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LASSET Christine</dc:creator>
  <cp:lastModifiedBy>Adelaïde BRION</cp:lastModifiedBy>
  <cp:revision>2</cp:revision>
  <dcterms:created xsi:type="dcterms:W3CDTF">2021-11-15T14:24:00Z</dcterms:created>
  <dcterms:modified xsi:type="dcterms:W3CDTF">2021-11-15T14:24:00Z</dcterms:modified>
</cp:coreProperties>
</file>