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1D" w:rsidRPr="00C86B0D" w:rsidRDefault="006909B3" w:rsidP="008179A4">
      <w:pPr>
        <w:spacing w:after="0" w:line="360" w:lineRule="auto"/>
        <w:jc w:val="both"/>
        <w:rPr>
          <w:b/>
          <w:i/>
          <w:sz w:val="24"/>
        </w:rPr>
      </w:pPr>
      <w:bookmarkStart w:id="0" w:name="_GoBack"/>
      <w:bookmarkEnd w:id="0"/>
      <w:r w:rsidRPr="00C86B0D">
        <w:rPr>
          <w:b/>
          <w:sz w:val="24"/>
        </w:rPr>
        <w:t>Synthèse </w:t>
      </w:r>
      <w:r w:rsidR="00F85212" w:rsidRPr="00C86B0D">
        <w:rPr>
          <w:b/>
          <w:sz w:val="24"/>
        </w:rPr>
        <w:t xml:space="preserve">– gène </w:t>
      </w:r>
      <w:r w:rsidR="005E0432" w:rsidRPr="00C86B0D">
        <w:rPr>
          <w:b/>
          <w:i/>
          <w:sz w:val="24"/>
        </w:rPr>
        <w:t>MSH3</w:t>
      </w:r>
    </w:p>
    <w:p w:rsidR="001908A3" w:rsidRPr="00C86B0D" w:rsidRDefault="001908A3" w:rsidP="008179A4">
      <w:pPr>
        <w:spacing w:after="0" w:line="360" w:lineRule="auto"/>
        <w:jc w:val="both"/>
        <w:rPr>
          <w:b/>
          <w:sz w:val="24"/>
        </w:rPr>
      </w:pPr>
    </w:p>
    <w:p w:rsidR="004E5107" w:rsidRPr="00C86B0D" w:rsidRDefault="000E2C2B" w:rsidP="008179A4">
      <w:pPr>
        <w:spacing w:after="0" w:line="360" w:lineRule="auto"/>
        <w:jc w:val="both"/>
        <w:rPr>
          <w:b/>
          <w:sz w:val="24"/>
        </w:rPr>
      </w:pPr>
      <w:r w:rsidRPr="00C86B0D">
        <w:rPr>
          <w:b/>
          <w:sz w:val="24"/>
        </w:rPr>
        <w:t xml:space="preserve">1 </w:t>
      </w:r>
      <w:r w:rsidR="004E5107" w:rsidRPr="00C86B0D">
        <w:rPr>
          <w:b/>
          <w:sz w:val="24"/>
        </w:rPr>
        <w:t xml:space="preserve">Etat des connaissances </w:t>
      </w:r>
    </w:p>
    <w:p w:rsidR="00086ED7" w:rsidRPr="00C86B0D" w:rsidRDefault="00086ED7" w:rsidP="00913C10">
      <w:pPr>
        <w:spacing w:after="0" w:line="360" w:lineRule="auto"/>
        <w:jc w:val="both"/>
        <w:rPr>
          <w:szCs w:val="24"/>
        </w:rPr>
      </w:pPr>
      <w:r w:rsidRPr="00C86B0D">
        <w:rPr>
          <w:szCs w:val="24"/>
        </w:rPr>
        <w:t xml:space="preserve">Le gène </w:t>
      </w:r>
      <w:r w:rsidRPr="00C86B0D">
        <w:rPr>
          <w:i/>
          <w:szCs w:val="24"/>
        </w:rPr>
        <w:t>MSH3</w:t>
      </w:r>
      <w:r w:rsidRPr="00C86B0D">
        <w:rPr>
          <w:szCs w:val="24"/>
        </w:rPr>
        <w:t xml:space="preserve"> est impliqué dans la réparation des mésappariements des s</w:t>
      </w:r>
      <w:r w:rsidR="00913C10" w:rsidRPr="00C86B0D">
        <w:rPr>
          <w:szCs w:val="24"/>
        </w:rPr>
        <w:t>équences répétées de type tri-té</w:t>
      </w:r>
      <w:r w:rsidR="00FB6089" w:rsidRPr="00C86B0D">
        <w:rPr>
          <w:szCs w:val="24"/>
        </w:rPr>
        <w:t>tra-nucléotides. L</w:t>
      </w:r>
      <w:r w:rsidRPr="00C86B0D">
        <w:rPr>
          <w:szCs w:val="24"/>
        </w:rPr>
        <w:t>a perte de fonction d</w:t>
      </w:r>
      <w:r w:rsidR="00552C48" w:rsidRPr="00C86B0D">
        <w:rPr>
          <w:szCs w:val="24"/>
        </w:rPr>
        <w:t xml:space="preserve">e la protéine </w:t>
      </w:r>
      <w:r w:rsidRPr="00C86B0D">
        <w:rPr>
          <w:szCs w:val="24"/>
        </w:rPr>
        <w:t xml:space="preserve">MSH3 conduit de manière spécifique </w:t>
      </w:r>
      <w:r w:rsidR="00913C10" w:rsidRPr="00C86B0D">
        <w:rPr>
          <w:szCs w:val="24"/>
        </w:rPr>
        <w:t xml:space="preserve">à l’instabilité de séquences </w:t>
      </w:r>
      <w:r w:rsidR="00FB6089" w:rsidRPr="00C86B0D">
        <w:rPr>
          <w:szCs w:val="24"/>
        </w:rPr>
        <w:t>tétra</w:t>
      </w:r>
      <w:r w:rsidRPr="00C86B0D">
        <w:rPr>
          <w:szCs w:val="24"/>
        </w:rPr>
        <w:t>-nucléotidiques (phénotype</w:t>
      </w:r>
      <w:r w:rsidR="00552C48" w:rsidRPr="00C86B0D">
        <w:rPr>
          <w:szCs w:val="24"/>
        </w:rPr>
        <w:t xml:space="preserve"> tumoral</w:t>
      </w:r>
      <w:r w:rsidRPr="00C86B0D">
        <w:rPr>
          <w:szCs w:val="24"/>
        </w:rPr>
        <w:t xml:space="preserve"> EMAST</w:t>
      </w:r>
      <w:r w:rsidR="00FB6089" w:rsidRPr="00C86B0D">
        <w:rPr>
          <w:szCs w:val="24"/>
        </w:rPr>
        <w:t xml:space="preserve"> : </w:t>
      </w:r>
      <w:proofErr w:type="spellStart"/>
      <w:r w:rsidRPr="00C86B0D">
        <w:rPr>
          <w:szCs w:val="24"/>
        </w:rPr>
        <w:t>Elevated</w:t>
      </w:r>
      <w:proofErr w:type="spellEnd"/>
      <w:r w:rsidRPr="00C86B0D">
        <w:rPr>
          <w:szCs w:val="24"/>
        </w:rPr>
        <w:t xml:space="preserve"> Microsatellite </w:t>
      </w:r>
      <w:proofErr w:type="spellStart"/>
      <w:r w:rsidRPr="00C86B0D">
        <w:rPr>
          <w:szCs w:val="24"/>
        </w:rPr>
        <w:t>Alteration</w:t>
      </w:r>
      <w:proofErr w:type="spellEnd"/>
      <w:r w:rsidRPr="00C86B0D">
        <w:rPr>
          <w:szCs w:val="24"/>
        </w:rPr>
        <w:t xml:space="preserve"> at </w:t>
      </w:r>
      <w:proofErr w:type="spellStart"/>
      <w:r w:rsidRPr="00C86B0D">
        <w:rPr>
          <w:szCs w:val="24"/>
        </w:rPr>
        <w:t>Selected</w:t>
      </w:r>
      <w:proofErr w:type="spellEnd"/>
      <w:r w:rsidRPr="00C86B0D">
        <w:rPr>
          <w:szCs w:val="24"/>
        </w:rPr>
        <w:t xml:space="preserve"> </w:t>
      </w:r>
      <w:proofErr w:type="spellStart"/>
      <w:r w:rsidRPr="00C86B0D">
        <w:rPr>
          <w:szCs w:val="24"/>
        </w:rPr>
        <w:t>Tetranucleotide</w:t>
      </w:r>
      <w:proofErr w:type="spellEnd"/>
      <w:r w:rsidRPr="00C86B0D">
        <w:rPr>
          <w:szCs w:val="24"/>
        </w:rPr>
        <w:t>)</w:t>
      </w:r>
      <w:r w:rsidR="00552C48" w:rsidRPr="00C86B0D">
        <w:rPr>
          <w:szCs w:val="24"/>
        </w:rPr>
        <w:t>.</w:t>
      </w:r>
    </w:p>
    <w:p w:rsidR="00FB6089" w:rsidRPr="00C86B0D" w:rsidRDefault="00576E78" w:rsidP="00913C10">
      <w:pPr>
        <w:spacing w:after="0" w:line="360" w:lineRule="auto"/>
        <w:jc w:val="both"/>
        <w:rPr>
          <w:szCs w:val="24"/>
        </w:rPr>
      </w:pPr>
      <w:r w:rsidRPr="00C86B0D">
        <w:rPr>
          <w:szCs w:val="24"/>
        </w:rPr>
        <w:t>Une</w:t>
      </w:r>
      <w:r w:rsidR="00346744" w:rsidRPr="00C86B0D">
        <w:rPr>
          <w:szCs w:val="24"/>
        </w:rPr>
        <w:t xml:space="preserve"> étude</w:t>
      </w:r>
      <w:r w:rsidRPr="00C86B0D">
        <w:rPr>
          <w:szCs w:val="24"/>
        </w:rPr>
        <w:t xml:space="preserve"> </w:t>
      </w:r>
      <w:proofErr w:type="spellStart"/>
      <w:r w:rsidRPr="00C86B0D">
        <w:rPr>
          <w:szCs w:val="24"/>
        </w:rPr>
        <w:t>pangénomique</w:t>
      </w:r>
      <w:proofErr w:type="spellEnd"/>
      <w:r w:rsidRPr="00C86B0D">
        <w:rPr>
          <w:szCs w:val="24"/>
        </w:rPr>
        <w:t xml:space="preserve"> de type « </w:t>
      </w:r>
      <w:proofErr w:type="spellStart"/>
      <w:r w:rsidRPr="00C86B0D">
        <w:rPr>
          <w:szCs w:val="24"/>
        </w:rPr>
        <w:t>exome</w:t>
      </w:r>
      <w:proofErr w:type="spellEnd"/>
      <w:r w:rsidRPr="00C86B0D">
        <w:rPr>
          <w:szCs w:val="24"/>
        </w:rPr>
        <w:t xml:space="preserve"> » </w:t>
      </w:r>
      <w:r w:rsidR="00FB6089" w:rsidRPr="00C86B0D">
        <w:rPr>
          <w:szCs w:val="24"/>
        </w:rPr>
        <w:t>chez</w:t>
      </w:r>
      <w:r w:rsidRPr="00C86B0D">
        <w:rPr>
          <w:szCs w:val="24"/>
        </w:rPr>
        <w:t xml:space="preserve"> 102 patients avec polypose atténuée</w:t>
      </w:r>
      <w:r w:rsidR="00346744" w:rsidRPr="00C86B0D">
        <w:rPr>
          <w:szCs w:val="24"/>
        </w:rPr>
        <w:t xml:space="preserve"> </w:t>
      </w:r>
      <w:r w:rsidR="00637AD9" w:rsidRPr="00C86B0D">
        <w:rPr>
          <w:szCs w:val="24"/>
        </w:rPr>
        <w:t>(</w:t>
      </w:r>
      <w:r w:rsidR="00FB6089" w:rsidRPr="00C86B0D">
        <w:rPr>
          <w:szCs w:val="24"/>
        </w:rPr>
        <w:t>1</w:t>
      </w:r>
      <w:r w:rsidR="00637AD9" w:rsidRPr="00C86B0D">
        <w:rPr>
          <w:szCs w:val="24"/>
        </w:rPr>
        <w:t xml:space="preserve">) </w:t>
      </w:r>
      <w:r w:rsidR="00346744" w:rsidRPr="00C86B0D">
        <w:rPr>
          <w:szCs w:val="24"/>
        </w:rPr>
        <w:t xml:space="preserve">rapporte la présence </w:t>
      </w:r>
      <w:r w:rsidRPr="00C86B0D">
        <w:rPr>
          <w:szCs w:val="24"/>
        </w:rPr>
        <w:t>de</w:t>
      </w:r>
      <w:r w:rsidR="00346744" w:rsidRPr="00C86B0D">
        <w:rPr>
          <w:szCs w:val="24"/>
        </w:rPr>
        <w:t xml:space="preserve"> mutation</w:t>
      </w:r>
      <w:r w:rsidRPr="00C86B0D">
        <w:rPr>
          <w:szCs w:val="24"/>
        </w:rPr>
        <w:t>s</w:t>
      </w:r>
      <w:r w:rsidR="00346744" w:rsidRPr="00C86B0D">
        <w:rPr>
          <w:szCs w:val="24"/>
        </w:rPr>
        <w:t xml:space="preserve"> homozygote</w:t>
      </w:r>
      <w:r w:rsidRPr="00C86B0D">
        <w:rPr>
          <w:szCs w:val="24"/>
        </w:rPr>
        <w:t>s</w:t>
      </w:r>
      <w:r w:rsidR="00346744" w:rsidRPr="00C86B0D">
        <w:rPr>
          <w:szCs w:val="24"/>
        </w:rPr>
        <w:t xml:space="preserve"> de </w:t>
      </w:r>
      <w:r w:rsidR="00346744" w:rsidRPr="00C86B0D">
        <w:rPr>
          <w:i/>
          <w:szCs w:val="24"/>
        </w:rPr>
        <w:t>MSH3</w:t>
      </w:r>
      <w:r w:rsidR="00346744" w:rsidRPr="00C86B0D">
        <w:rPr>
          <w:szCs w:val="24"/>
        </w:rPr>
        <w:t xml:space="preserve"> chez </w:t>
      </w:r>
      <w:r w:rsidRPr="00C86B0D">
        <w:rPr>
          <w:szCs w:val="24"/>
        </w:rPr>
        <w:t>deux</w:t>
      </w:r>
      <w:r w:rsidR="00346744" w:rsidRPr="00C86B0D">
        <w:rPr>
          <w:szCs w:val="24"/>
        </w:rPr>
        <w:t xml:space="preserve"> </w:t>
      </w:r>
      <w:r w:rsidR="004D0CDB" w:rsidRPr="00C86B0D">
        <w:rPr>
          <w:szCs w:val="24"/>
        </w:rPr>
        <w:t>cas index</w:t>
      </w:r>
      <w:r w:rsidR="00346744" w:rsidRPr="00C86B0D">
        <w:rPr>
          <w:szCs w:val="24"/>
        </w:rPr>
        <w:t xml:space="preserve"> présentant un phénotype de polypose </w:t>
      </w:r>
      <w:proofErr w:type="spellStart"/>
      <w:r w:rsidR="00346744" w:rsidRPr="00C86B0D">
        <w:rPr>
          <w:szCs w:val="24"/>
        </w:rPr>
        <w:t>adénomateuse</w:t>
      </w:r>
      <w:proofErr w:type="spellEnd"/>
      <w:r w:rsidR="00346744" w:rsidRPr="00C86B0D">
        <w:rPr>
          <w:szCs w:val="24"/>
        </w:rPr>
        <w:t xml:space="preserve"> atténuée histologiquement documentée</w:t>
      </w:r>
      <w:r w:rsidR="00FB6089" w:rsidRPr="00C86B0D">
        <w:rPr>
          <w:szCs w:val="24"/>
        </w:rPr>
        <w:t>, c</w:t>
      </w:r>
      <w:r w:rsidR="004D0CDB" w:rsidRPr="00C86B0D">
        <w:rPr>
          <w:szCs w:val="24"/>
        </w:rPr>
        <w:t xml:space="preserve">es mutations bi-alléliques ayant </w:t>
      </w:r>
      <w:r w:rsidR="00FB6089" w:rsidRPr="00C86B0D">
        <w:rPr>
          <w:szCs w:val="24"/>
        </w:rPr>
        <w:t>aussi</w:t>
      </w:r>
      <w:r w:rsidR="004D0CDB" w:rsidRPr="00C86B0D">
        <w:rPr>
          <w:szCs w:val="24"/>
        </w:rPr>
        <w:t xml:space="preserve"> été retrouvées chez un de leurs apparentés</w:t>
      </w:r>
      <w:r w:rsidR="00346744" w:rsidRPr="00C86B0D">
        <w:rPr>
          <w:szCs w:val="24"/>
        </w:rPr>
        <w:t xml:space="preserve"> </w:t>
      </w:r>
      <w:r w:rsidR="00FB6089" w:rsidRPr="00C86B0D">
        <w:rPr>
          <w:szCs w:val="24"/>
        </w:rPr>
        <w:t>présentant également des p</w:t>
      </w:r>
      <w:r w:rsidR="004D0CDB" w:rsidRPr="00C86B0D">
        <w:rPr>
          <w:szCs w:val="24"/>
        </w:rPr>
        <w:t xml:space="preserve">olypes </w:t>
      </w:r>
      <w:proofErr w:type="spellStart"/>
      <w:r w:rsidR="004D0CDB" w:rsidRPr="00C86B0D">
        <w:rPr>
          <w:szCs w:val="24"/>
        </w:rPr>
        <w:t>adénomateux</w:t>
      </w:r>
      <w:proofErr w:type="spellEnd"/>
      <w:r w:rsidR="004D0CDB" w:rsidRPr="00C86B0D">
        <w:rPr>
          <w:szCs w:val="24"/>
        </w:rPr>
        <w:t xml:space="preserve"> </w:t>
      </w:r>
      <w:r w:rsidR="00346744" w:rsidRPr="00C86B0D">
        <w:rPr>
          <w:szCs w:val="24"/>
        </w:rPr>
        <w:t>(</w:t>
      </w:r>
      <w:r w:rsidRPr="00C86B0D">
        <w:rPr>
          <w:szCs w:val="24"/>
        </w:rPr>
        <w:t xml:space="preserve">soit </w:t>
      </w:r>
      <w:r w:rsidR="004D0CDB" w:rsidRPr="00C86B0D">
        <w:rPr>
          <w:szCs w:val="24"/>
        </w:rPr>
        <w:t>au total</w:t>
      </w:r>
      <w:r w:rsidRPr="00C86B0D">
        <w:rPr>
          <w:szCs w:val="24"/>
        </w:rPr>
        <w:t xml:space="preserve"> </w:t>
      </w:r>
      <w:r w:rsidR="00346744" w:rsidRPr="00C86B0D">
        <w:rPr>
          <w:szCs w:val="24"/>
        </w:rPr>
        <w:t>4 indiv</w:t>
      </w:r>
      <w:r w:rsidRPr="00C86B0D">
        <w:rPr>
          <w:szCs w:val="24"/>
        </w:rPr>
        <w:t xml:space="preserve">idus </w:t>
      </w:r>
      <w:r w:rsidR="0060281B" w:rsidRPr="00C86B0D">
        <w:rPr>
          <w:szCs w:val="24"/>
        </w:rPr>
        <w:t xml:space="preserve">atteints de polypes </w:t>
      </w:r>
      <w:proofErr w:type="spellStart"/>
      <w:r w:rsidR="0060281B" w:rsidRPr="00C86B0D">
        <w:rPr>
          <w:szCs w:val="24"/>
        </w:rPr>
        <w:t>adénomateux</w:t>
      </w:r>
      <w:proofErr w:type="spellEnd"/>
      <w:r w:rsidR="0060281B" w:rsidRPr="00C86B0D">
        <w:rPr>
          <w:szCs w:val="24"/>
        </w:rPr>
        <w:t xml:space="preserve"> </w:t>
      </w:r>
      <w:r w:rsidR="00FB6089" w:rsidRPr="00C86B0D">
        <w:rPr>
          <w:szCs w:val="24"/>
        </w:rPr>
        <w:t xml:space="preserve">multiples </w:t>
      </w:r>
      <w:r w:rsidR="0060281B" w:rsidRPr="00C86B0D">
        <w:rPr>
          <w:szCs w:val="24"/>
        </w:rPr>
        <w:t xml:space="preserve">ou de polypose </w:t>
      </w:r>
      <w:r w:rsidR="004D0CDB" w:rsidRPr="00C86B0D">
        <w:rPr>
          <w:szCs w:val="24"/>
        </w:rPr>
        <w:t xml:space="preserve">porteurs de mutations bi-alléliques du gène </w:t>
      </w:r>
      <w:r w:rsidR="004D0CDB" w:rsidRPr="00C86B0D">
        <w:rPr>
          <w:i/>
          <w:szCs w:val="24"/>
        </w:rPr>
        <w:t>MSH3</w:t>
      </w:r>
      <w:r w:rsidR="004D0CDB" w:rsidRPr="00C86B0D">
        <w:rPr>
          <w:szCs w:val="24"/>
        </w:rPr>
        <w:t xml:space="preserve"> </w:t>
      </w:r>
      <w:r w:rsidRPr="00C86B0D">
        <w:rPr>
          <w:szCs w:val="24"/>
        </w:rPr>
        <w:t>dans 2 fratries distinctes</w:t>
      </w:r>
      <w:r w:rsidR="00913C10" w:rsidRPr="00C86B0D">
        <w:rPr>
          <w:szCs w:val="24"/>
        </w:rPr>
        <w:t>). C</w:t>
      </w:r>
      <w:r w:rsidR="00637AD9" w:rsidRPr="00C86B0D">
        <w:rPr>
          <w:szCs w:val="24"/>
        </w:rPr>
        <w:t>es résultats</w:t>
      </w:r>
      <w:r w:rsidR="00346744" w:rsidRPr="00C86B0D">
        <w:rPr>
          <w:szCs w:val="24"/>
        </w:rPr>
        <w:t xml:space="preserve"> soulève</w:t>
      </w:r>
      <w:r w:rsidR="00637AD9" w:rsidRPr="00C86B0D">
        <w:rPr>
          <w:szCs w:val="24"/>
        </w:rPr>
        <w:t>nt</w:t>
      </w:r>
      <w:r w:rsidR="00346744" w:rsidRPr="00C86B0D">
        <w:rPr>
          <w:szCs w:val="24"/>
        </w:rPr>
        <w:t xml:space="preserve"> l’hypothèse d’une prédisposition génétique de transmission autosomique récessive liée à des mutations bi</w:t>
      </w:r>
      <w:r w:rsidR="00913C10" w:rsidRPr="00C86B0D">
        <w:rPr>
          <w:szCs w:val="24"/>
        </w:rPr>
        <w:t>-</w:t>
      </w:r>
      <w:r w:rsidR="00346744" w:rsidRPr="00C86B0D">
        <w:rPr>
          <w:szCs w:val="24"/>
        </w:rPr>
        <w:t xml:space="preserve">alléliques du gène </w:t>
      </w:r>
      <w:r w:rsidR="00346744" w:rsidRPr="00C86B0D">
        <w:rPr>
          <w:i/>
          <w:szCs w:val="24"/>
        </w:rPr>
        <w:t>MSH3</w:t>
      </w:r>
      <w:r w:rsidR="00FB6089" w:rsidRPr="00C86B0D">
        <w:rPr>
          <w:szCs w:val="24"/>
        </w:rPr>
        <w:t xml:space="preserve">. </w:t>
      </w:r>
    </w:p>
    <w:p w:rsidR="00346744" w:rsidRPr="00C86B0D" w:rsidRDefault="00FB6089" w:rsidP="00913C10">
      <w:pPr>
        <w:spacing w:after="0" w:line="360" w:lineRule="auto"/>
        <w:jc w:val="both"/>
        <w:rPr>
          <w:szCs w:val="24"/>
        </w:rPr>
      </w:pPr>
      <w:r w:rsidRPr="00C86B0D">
        <w:rPr>
          <w:szCs w:val="24"/>
        </w:rPr>
        <w:t>Au plan somatique : le</w:t>
      </w:r>
      <w:r w:rsidR="00370568" w:rsidRPr="00C86B0D">
        <w:rPr>
          <w:szCs w:val="24"/>
        </w:rPr>
        <w:t xml:space="preserve"> </w:t>
      </w:r>
      <w:r w:rsidR="00C22345" w:rsidRPr="00C86B0D">
        <w:rPr>
          <w:szCs w:val="24"/>
        </w:rPr>
        <w:t>phénotype</w:t>
      </w:r>
      <w:r w:rsidR="00370568" w:rsidRPr="00C86B0D">
        <w:rPr>
          <w:szCs w:val="24"/>
        </w:rPr>
        <w:t xml:space="preserve"> EMAST a été observé sur les </w:t>
      </w:r>
      <w:r w:rsidRPr="00C86B0D">
        <w:rPr>
          <w:szCs w:val="24"/>
        </w:rPr>
        <w:t>3 échantillons tumoraux étudiés et l</w:t>
      </w:r>
      <w:r w:rsidR="00982D11" w:rsidRPr="00C86B0D">
        <w:rPr>
          <w:szCs w:val="24"/>
        </w:rPr>
        <w:t>’</w:t>
      </w:r>
      <w:r w:rsidR="00346744" w:rsidRPr="00C86B0D">
        <w:rPr>
          <w:szCs w:val="24"/>
        </w:rPr>
        <w:t xml:space="preserve">étude </w:t>
      </w:r>
      <w:proofErr w:type="spellStart"/>
      <w:r w:rsidR="00346744" w:rsidRPr="00C86B0D">
        <w:rPr>
          <w:szCs w:val="24"/>
        </w:rPr>
        <w:t>immunohistochimique</w:t>
      </w:r>
      <w:proofErr w:type="spellEnd"/>
      <w:r w:rsidR="00346744" w:rsidRPr="00C86B0D">
        <w:rPr>
          <w:szCs w:val="24"/>
        </w:rPr>
        <w:t xml:space="preserve"> du tissu </w:t>
      </w:r>
      <w:proofErr w:type="spellStart"/>
      <w:r w:rsidR="00346744" w:rsidRPr="00C86B0D">
        <w:rPr>
          <w:szCs w:val="24"/>
        </w:rPr>
        <w:t>adénomateux</w:t>
      </w:r>
      <w:proofErr w:type="spellEnd"/>
      <w:r w:rsidR="00346744" w:rsidRPr="00C86B0D">
        <w:rPr>
          <w:szCs w:val="24"/>
        </w:rPr>
        <w:t xml:space="preserve"> et </w:t>
      </w:r>
      <w:r w:rsidR="00086ED7" w:rsidRPr="00C86B0D">
        <w:rPr>
          <w:szCs w:val="24"/>
        </w:rPr>
        <w:t xml:space="preserve">du tissu </w:t>
      </w:r>
      <w:r w:rsidR="00346744" w:rsidRPr="00C86B0D">
        <w:rPr>
          <w:szCs w:val="24"/>
        </w:rPr>
        <w:t>sain perme</w:t>
      </w:r>
      <w:r w:rsidR="00086ED7" w:rsidRPr="00C86B0D">
        <w:rPr>
          <w:szCs w:val="24"/>
        </w:rPr>
        <w:t xml:space="preserve">ttait de mettre en évidence </w:t>
      </w:r>
      <w:r w:rsidR="00913C10" w:rsidRPr="00C86B0D">
        <w:rPr>
          <w:szCs w:val="24"/>
        </w:rPr>
        <w:t xml:space="preserve">une </w:t>
      </w:r>
      <w:r w:rsidR="00346744" w:rsidRPr="00C86B0D">
        <w:rPr>
          <w:szCs w:val="24"/>
        </w:rPr>
        <w:t>perte d’expression de la protéine MSH3</w:t>
      </w:r>
      <w:r w:rsidRPr="00C86B0D">
        <w:rPr>
          <w:szCs w:val="24"/>
        </w:rPr>
        <w:t xml:space="preserve"> dans les tumeurs</w:t>
      </w:r>
      <w:r w:rsidR="00346744" w:rsidRPr="00C86B0D">
        <w:rPr>
          <w:szCs w:val="24"/>
        </w:rPr>
        <w:t>.</w:t>
      </w:r>
    </w:p>
    <w:p w:rsidR="00FB6089" w:rsidRPr="00C86B0D" w:rsidRDefault="00FB6089" w:rsidP="00FB6089">
      <w:pPr>
        <w:spacing w:after="0" w:line="360" w:lineRule="auto"/>
        <w:jc w:val="both"/>
        <w:rPr>
          <w:szCs w:val="24"/>
        </w:rPr>
      </w:pPr>
      <w:r w:rsidRPr="00C86B0D">
        <w:rPr>
          <w:szCs w:val="24"/>
        </w:rPr>
        <w:t>Aucune étude à ce jour ne rapporte la prévalence de mutations délétères du gène </w:t>
      </w:r>
      <w:r w:rsidRPr="00C86B0D">
        <w:rPr>
          <w:i/>
          <w:szCs w:val="24"/>
        </w:rPr>
        <w:t>MSH3</w:t>
      </w:r>
      <w:r w:rsidRPr="00C86B0D">
        <w:rPr>
          <w:szCs w:val="24"/>
        </w:rPr>
        <w:t xml:space="preserve"> chez des individus atteints de CCR ou de polypose.</w:t>
      </w:r>
    </w:p>
    <w:p w:rsidR="00FB6089" w:rsidRPr="00C86B0D" w:rsidRDefault="00FB6089" w:rsidP="00913C10">
      <w:pPr>
        <w:spacing w:after="0" w:line="360" w:lineRule="auto"/>
        <w:jc w:val="both"/>
        <w:rPr>
          <w:szCs w:val="24"/>
        </w:rPr>
      </w:pPr>
    </w:p>
    <w:p w:rsidR="00A52FC5" w:rsidRPr="00C86B0D" w:rsidRDefault="00C86B0D" w:rsidP="00913C10">
      <w:pPr>
        <w:spacing w:after="0" w:line="360" w:lineRule="auto"/>
        <w:jc w:val="both"/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Référence</w:t>
      </w:r>
      <w:proofErr w:type="spellEnd"/>
      <w:r>
        <w:rPr>
          <w:szCs w:val="24"/>
          <w:lang w:val="en-US"/>
        </w:rPr>
        <w:t xml:space="preserve"> :</w:t>
      </w:r>
      <w:proofErr w:type="gramEnd"/>
    </w:p>
    <w:p w:rsidR="00FB6089" w:rsidRPr="00C86B0D" w:rsidRDefault="00FB6089" w:rsidP="00FB6089">
      <w:pPr>
        <w:spacing w:after="0" w:line="240" w:lineRule="auto"/>
        <w:jc w:val="both"/>
        <w:rPr>
          <w:i/>
          <w:szCs w:val="24"/>
        </w:rPr>
      </w:pPr>
      <w:r w:rsidRPr="00C86B0D">
        <w:rPr>
          <w:i/>
          <w:szCs w:val="24"/>
          <w:lang w:val="en-US"/>
        </w:rPr>
        <w:t xml:space="preserve">1 - </w:t>
      </w:r>
      <w:hyperlink r:id="rId8" w:history="1">
        <w:r w:rsidRPr="00C86B0D">
          <w:rPr>
            <w:i/>
            <w:szCs w:val="24"/>
            <w:lang w:val="en-US"/>
          </w:rPr>
          <w:t>Adam R</w:t>
        </w:r>
      </w:hyperlink>
      <w:r w:rsidRPr="00C86B0D">
        <w:rPr>
          <w:i/>
          <w:szCs w:val="24"/>
          <w:lang w:val="en-US"/>
        </w:rPr>
        <w:t xml:space="preserve"> et al. </w:t>
      </w:r>
      <w:r w:rsidR="00C86B0D" w:rsidRPr="00C86B0D">
        <w:rPr>
          <w:i/>
          <w:szCs w:val="24"/>
          <w:lang w:val="en-US"/>
        </w:rPr>
        <w:t xml:space="preserve"> </w:t>
      </w:r>
      <w:r w:rsidRPr="00C86B0D">
        <w:rPr>
          <w:i/>
          <w:szCs w:val="24"/>
          <w:lang w:val="en-US"/>
        </w:rPr>
        <w:t>Am J</w:t>
      </w:r>
      <w:r w:rsidR="00C86B0D" w:rsidRPr="00C86B0D">
        <w:rPr>
          <w:i/>
          <w:szCs w:val="24"/>
          <w:lang w:val="en-US"/>
        </w:rPr>
        <w:t xml:space="preserve"> Human Genet</w:t>
      </w:r>
      <w:r w:rsidRPr="00C86B0D">
        <w:rPr>
          <w:i/>
          <w:szCs w:val="24"/>
          <w:lang w:val="en-US"/>
        </w:rPr>
        <w:t>. </w:t>
      </w:r>
      <w:r w:rsidRPr="00C86B0D">
        <w:rPr>
          <w:i/>
          <w:szCs w:val="24"/>
        </w:rPr>
        <w:t>2016</w:t>
      </w:r>
    </w:p>
    <w:p w:rsidR="00346744" w:rsidRPr="00C86B0D" w:rsidRDefault="00346744" w:rsidP="008179A4">
      <w:pPr>
        <w:spacing w:after="0" w:line="360" w:lineRule="auto"/>
        <w:jc w:val="both"/>
        <w:rPr>
          <w:szCs w:val="24"/>
        </w:rPr>
      </w:pPr>
    </w:p>
    <w:p w:rsidR="00A52FC5" w:rsidRPr="00C86B0D" w:rsidRDefault="00A52FC5" w:rsidP="00FB6089">
      <w:pPr>
        <w:spacing w:after="0" w:line="360" w:lineRule="auto"/>
        <w:rPr>
          <w:b/>
          <w:szCs w:val="24"/>
        </w:rPr>
      </w:pPr>
    </w:p>
    <w:p w:rsidR="00FB6089" w:rsidRPr="00C86B0D" w:rsidRDefault="005E3D7C" w:rsidP="00FB6089">
      <w:pPr>
        <w:spacing w:after="0" w:line="360" w:lineRule="auto"/>
        <w:rPr>
          <w:b/>
          <w:sz w:val="24"/>
          <w:szCs w:val="24"/>
        </w:rPr>
      </w:pPr>
      <w:r w:rsidRPr="00C86B0D">
        <w:rPr>
          <w:b/>
          <w:sz w:val="24"/>
          <w:szCs w:val="24"/>
        </w:rPr>
        <w:t xml:space="preserve">2 </w:t>
      </w:r>
      <w:r w:rsidR="00FB6089" w:rsidRPr="00C86B0D">
        <w:rPr>
          <w:b/>
          <w:sz w:val="24"/>
          <w:szCs w:val="24"/>
        </w:rPr>
        <w:t xml:space="preserve">Risques de lésions néoplasiques digestives associés aux mutations constitutionnelles du gène </w:t>
      </w:r>
      <w:r w:rsidR="00FB6089" w:rsidRPr="00C86B0D">
        <w:rPr>
          <w:b/>
          <w:i/>
          <w:sz w:val="24"/>
          <w:szCs w:val="24"/>
        </w:rPr>
        <w:t>MSH3</w:t>
      </w:r>
    </w:p>
    <w:p w:rsidR="00FB6089" w:rsidRPr="00C86B0D" w:rsidRDefault="00FB6089" w:rsidP="00FB6089">
      <w:pPr>
        <w:spacing w:after="0" w:line="360" w:lineRule="auto"/>
      </w:pPr>
    </w:p>
    <w:p w:rsidR="00FB6089" w:rsidRPr="00C86B0D" w:rsidRDefault="005E3D7C" w:rsidP="00FB6089">
      <w:pPr>
        <w:spacing w:after="0" w:line="360" w:lineRule="auto"/>
        <w:rPr>
          <w:b/>
        </w:rPr>
      </w:pPr>
      <w:r w:rsidRPr="00C86B0D">
        <w:rPr>
          <w:b/>
        </w:rPr>
        <w:t>2.</w:t>
      </w:r>
      <w:r w:rsidR="00FB6089" w:rsidRPr="00C86B0D">
        <w:rPr>
          <w:b/>
        </w:rPr>
        <w:t>1 Risque de cancer colorectal </w:t>
      </w:r>
    </w:p>
    <w:p w:rsidR="00FB6089" w:rsidRPr="00C86B0D" w:rsidRDefault="00FB6089" w:rsidP="00A52FC5">
      <w:pPr>
        <w:spacing w:after="0" w:line="360" w:lineRule="auto"/>
        <w:jc w:val="both"/>
      </w:pPr>
      <w:r w:rsidRPr="00C86B0D">
        <w:t xml:space="preserve">Il n’existe pas d’études estimant le risque de cancer colorectal associé aux mutations constitutionnelles bi-alléliques du gène </w:t>
      </w:r>
      <w:r w:rsidRPr="00C86B0D">
        <w:rPr>
          <w:i/>
        </w:rPr>
        <w:t>MSH3.</w:t>
      </w:r>
    </w:p>
    <w:p w:rsidR="00FB6089" w:rsidRPr="00C86B0D" w:rsidRDefault="005E3D7C" w:rsidP="00A52FC5">
      <w:pPr>
        <w:spacing w:after="0" w:line="360" w:lineRule="auto"/>
        <w:jc w:val="both"/>
        <w:rPr>
          <w:b/>
        </w:rPr>
      </w:pPr>
      <w:r w:rsidRPr="00C86B0D">
        <w:rPr>
          <w:b/>
        </w:rPr>
        <w:t>2.</w:t>
      </w:r>
      <w:r w:rsidR="00FB6089" w:rsidRPr="00C86B0D">
        <w:rPr>
          <w:b/>
        </w:rPr>
        <w:t xml:space="preserve">2 Risque de polypose </w:t>
      </w:r>
      <w:proofErr w:type="spellStart"/>
      <w:r w:rsidR="00FB6089" w:rsidRPr="00C86B0D">
        <w:rPr>
          <w:b/>
        </w:rPr>
        <w:t>adénomateuse</w:t>
      </w:r>
      <w:proofErr w:type="spellEnd"/>
      <w:r w:rsidR="00FB6089" w:rsidRPr="00C86B0D">
        <w:rPr>
          <w:b/>
        </w:rPr>
        <w:t xml:space="preserve"> colique</w:t>
      </w:r>
    </w:p>
    <w:p w:rsidR="00FB6089" w:rsidRPr="00C86B0D" w:rsidRDefault="00FB6089" w:rsidP="00A52FC5">
      <w:pPr>
        <w:spacing w:after="0" w:line="360" w:lineRule="auto"/>
        <w:jc w:val="both"/>
      </w:pPr>
      <w:r w:rsidRPr="00C86B0D">
        <w:lastRenderedPageBreak/>
        <w:t xml:space="preserve">Il n’existe pas d’études estimant le risque de polypose </w:t>
      </w:r>
      <w:proofErr w:type="spellStart"/>
      <w:r w:rsidRPr="00C86B0D">
        <w:t>adénomateuse</w:t>
      </w:r>
      <w:proofErr w:type="spellEnd"/>
      <w:r w:rsidRPr="00C86B0D">
        <w:t xml:space="preserve"> colorectale associé aux mutations constitutionnelles bi-alléliques du gène </w:t>
      </w:r>
      <w:r w:rsidRPr="00C86B0D">
        <w:rPr>
          <w:i/>
        </w:rPr>
        <w:t>MSH3.</w:t>
      </w:r>
    </w:p>
    <w:p w:rsidR="00FB6089" w:rsidRPr="00C86B0D" w:rsidRDefault="005E3D7C" w:rsidP="00FB6089">
      <w:pPr>
        <w:spacing w:after="0" w:line="360" w:lineRule="auto"/>
        <w:rPr>
          <w:b/>
        </w:rPr>
      </w:pPr>
      <w:r w:rsidRPr="00C86B0D">
        <w:rPr>
          <w:b/>
        </w:rPr>
        <w:t>2.</w:t>
      </w:r>
      <w:r w:rsidR="00FB6089" w:rsidRPr="00C86B0D">
        <w:rPr>
          <w:b/>
        </w:rPr>
        <w:t>3 Risque d’adénomes / adénocarcinomes du duodénum </w:t>
      </w:r>
    </w:p>
    <w:p w:rsidR="00FB6089" w:rsidRPr="00C86B0D" w:rsidRDefault="00FB6089" w:rsidP="00A52FC5">
      <w:pPr>
        <w:spacing w:after="0" w:line="360" w:lineRule="auto"/>
        <w:jc w:val="both"/>
      </w:pPr>
      <w:r w:rsidRPr="00C86B0D">
        <w:t xml:space="preserve">Il n’existe pas d’études estimant le risque d’adénomes/adénocarcinomes du duodénum associé aux mutations constitutionnelles bi-alléliques du gène </w:t>
      </w:r>
      <w:r w:rsidRPr="00C86B0D">
        <w:rPr>
          <w:i/>
        </w:rPr>
        <w:t>MSH3.</w:t>
      </w:r>
    </w:p>
    <w:p w:rsidR="00FB6089" w:rsidRPr="00C86B0D" w:rsidRDefault="00FB6089" w:rsidP="008179A4">
      <w:pPr>
        <w:jc w:val="both"/>
        <w:rPr>
          <w:sz w:val="20"/>
        </w:rPr>
      </w:pPr>
    </w:p>
    <w:p w:rsidR="00A52FC5" w:rsidRPr="00C86B0D" w:rsidRDefault="00A52FC5" w:rsidP="00A52FC5">
      <w:r w:rsidRPr="00C86B0D">
        <w:t>En conséquence, il est établi que :</w:t>
      </w:r>
    </w:p>
    <w:p w:rsidR="00A52FC5" w:rsidRPr="00C86B0D" w:rsidRDefault="00A52FC5" w:rsidP="00A52FC5">
      <w:pPr>
        <w:spacing w:after="0" w:line="360" w:lineRule="auto"/>
        <w:jc w:val="both"/>
      </w:pPr>
      <w:r w:rsidRPr="00C86B0D">
        <w:t xml:space="preserve">Pour le risque de cancer </w:t>
      </w:r>
      <w:proofErr w:type="gramStart"/>
      <w:r w:rsidRPr="00C86B0D">
        <w:t>colorectal  :</w:t>
      </w:r>
      <w:proofErr w:type="gramEnd"/>
    </w:p>
    <w:p w:rsidR="00A52FC5" w:rsidRPr="00C86B0D" w:rsidRDefault="00A52FC5" w:rsidP="00A52FC5">
      <w:pPr>
        <w:pStyle w:val="Paragraphedeliste"/>
        <w:numPr>
          <w:ilvl w:val="0"/>
          <w:numId w:val="1"/>
        </w:numPr>
        <w:spacing w:after="0" w:line="360" w:lineRule="auto"/>
        <w:ind w:left="720"/>
        <w:jc w:val="both"/>
        <w:rPr>
          <w:i/>
        </w:rPr>
      </w:pPr>
      <w:r w:rsidRPr="00C86B0D">
        <w:rPr>
          <w:i/>
        </w:rPr>
        <w:t>Le niveau de risque de cancer colorectal chez les individus avec mutations bi-alléliques du gène MSH3 est inconnu.</w:t>
      </w:r>
    </w:p>
    <w:p w:rsidR="00A52FC5" w:rsidRPr="00C86B0D" w:rsidRDefault="00A52FC5" w:rsidP="00A52FC5">
      <w:pPr>
        <w:spacing w:after="0" w:line="360" w:lineRule="auto"/>
        <w:jc w:val="both"/>
      </w:pPr>
      <w:r w:rsidRPr="00C86B0D">
        <w:t xml:space="preserve">Pour le risque de polypose </w:t>
      </w:r>
      <w:proofErr w:type="spellStart"/>
      <w:r w:rsidRPr="00C86B0D">
        <w:t>adénomateuse</w:t>
      </w:r>
      <w:proofErr w:type="spellEnd"/>
      <w:r w:rsidRPr="00C86B0D">
        <w:t xml:space="preserve"> colorectale : </w:t>
      </w:r>
    </w:p>
    <w:p w:rsidR="00A52FC5" w:rsidRPr="00C86B0D" w:rsidRDefault="00A52FC5" w:rsidP="00A52FC5">
      <w:pPr>
        <w:pStyle w:val="Paragraphedeliste"/>
        <w:numPr>
          <w:ilvl w:val="0"/>
          <w:numId w:val="1"/>
        </w:numPr>
        <w:spacing w:after="0" w:line="360" w:lineRule="auto"/>
        <w:ind w:left="720"/>
        <w:jc w:val="both"/>
        <w:rPr>
          <w:i/>
        </w:rPr>
      </w:pPr>
      <w:r w:rsidRPr="00C86B0D">
        <w:rPr>
          <w:i/>
        </w:rPr>
        <w:t xml:space="preserve">Le niveau de risque de polypose </w:t>
      </w:r>
      <w:proofErr w:type="spellStart"/>
      <w:r w:rsidRPr="00C86B0D">
        <w:rPr>
          <w:i/>
        </w:rPr>
        <w:t>adénomateuse</w:t>
      </w:r>
      <w:proofErr w:type="spellEnd"/>
      <w:r w:rsidRPr="00C86B0D">
        <w:rPr>
          <w:i/>
        </w:rPr>
        <w:t xml:space="preserve"> colorectale chez les individus avec mutations bi-alléliques du gène MSH3 est inconnu.</w:t>
      </w:r>
    </w:p>
    <w:p w:rsidR="00A52FC5" w:rsidRPr="00C86B0D" w:rsidRDefault="00A52FC5" w:rsidP="00A52FC5">
      <w:pPr>
        <w:spacing w:after="0" w:line="360" w:lineRule="auto"/>
        <w:jc w:val="both"/>
      </w:pPr>
      <w:r w:rsidRPr="00C86B0D">
        <w:t xml:space="preserve">Pour le risque d’adénomes /adénocarcinomes du duodénum : </w:t>
      </w:r>
    </w:p>
    <w:p w:rsidR="00A52FC5" w:rsidRPr="00C86B0D" w:rsidRDefault="00A52FC5" w:rsidP="00A52FC5">
      <w:pPr>
        <w:pStyle w:val="Paragraphedeliste"/>
        <w:numPr>
          <w:ilvl w:val="0"/>
          <w:numId w:val="1"/>
        </w:numPr>
        <w:spacing w:after="0" w:line="360" w:lineRule="auto"/>
        <w:ind w:left="720"/>
        <w:jc w:val="both"/>
        <w:rPr>
          <w:i/>
        </w:rPr>
      </w:pPr>
      <w:r w:rsidRPr="00C86B0D">
        <w:rPr>
          <w:i/>
        </w:rPr>
        <w:t>Le niveau de risque d’adénomes / adénocarcinomes du duodénum chez les individus avec mutations bi-alléliques du gène MSH3 est inconnu.</w:t>
      </w:r>
    </w:p>
    <w:p w:rsidR="00A52FC5" w:rsidRPr="00C86B0D" w:rsidRDefault="00A52FC5" w:rsidP="00A52FC5">
      <w:pPr>
        <w:spacing w:after="0" w:line="360" w:lineRule="auto"/>
        <w:jc w:val="both"/>
      </w:pPr>
    </w:p>
    <w:p w:rsidR="00A52FC5" w:rsidRPr="00C86B0D" w:rsidRDefault="00A52FC5" w:rsidP="00A52FC5">
      <w:pPr>
        <w:spacing w:after="0" w:line="360" w:lineRule="auto"/>
        <w:jc w:val="both"/>
      </w:pPr>
      <w:r w:rsidRPr="00C86B0D">
        <w:t xml:space="preserve">De même, les risques de cancer colorectal, de polypose </w:t>
      </w:r>
      <w:proofErr w:type="spellStart"/>
      <w:r w:rsidRPr="00C86B0D">
        <w:t>adénomateuse</w:t>
      </w:r>
      <w:proofErr w:type="spellEnd"/>
      <w:r w:rsidRPr="00C86B0D">
        <w:t xml:space="preserve"> colorectale et d’adénomes / adénocarcinomes du duodénum associé aux mutations constitutionnelles mono-alléliques du gène </w:t>
      </w:r>
      <w:r w:rsidRPr="00C86B0D">
        <w:rPr>
          <w:i/>
        </w:rPr>
        <w:t xml:space="preserve">MSH3 </w:t>
      </w:r>
      <w:r w:rsidRPr="00C86B0D">
        <w:t>sont inconnus.</w:t>
      </w:r>
    </w:p>
    <w:p w:rsidR="00941FF0" w:rsidRPr="00C86B0D" w:rsidRDefault="00941FF0" w:rsidP="008179A4">
      <w:pPr>
        <w:spacing w:after="0" w:line="360" w:lineRule="auto"/>
        <w:jc w:val="both"/>
      </w:pPr>
    </w:p>
    <w:p w:rsidR="009763FC" w:rsidRPr="00C86B0D" w:rsidRDefault="005E3D7C" w:rsidP="008179A4">
      <w:pPr>
        <w:spacing w:after="0" w:line="360" w:lineRule="auto"/>
        <w:jc w:val="both"/>
        <w:rPr>
          <w:b/>
          <w:sz w:val="24"/>
        </w:rPr>
      </w:pPr>
      <w:r w:rsidRPr="00C86B0D">
        <w:rPr>
          <w:b/>
          <w:sz w:val="24"/>
        </w:rPr>
        <w:t>3</w:t>
      </w:r>
      <w:r w:rsidR="000E2C2B" w:rsidRPr="00C86B0D">
        <w:rPr>
          <w:b/>
          <w:sz w:val="24"/>
        </w:rPr>
        <w:t xml:space="preserve"> </w:t>
      </w:r>
      <w:r w:rsidR="009763FC" w:rsidRPr="00C86B0D">
        <w:rPr>
          <w:b/>
          <w:sz w:val="24"/>
        </w:rPr>
        <w:t xml:space="preserve">Avis </w:t>
      </w:r>
      <w:r w:rsidR="004E5107" w:rsidRPr="00C86B0D">
        <w:rPr>
          <w:b/>
          <w:sz w:val="24"/>
        </w:rPr>
        <w:t>concernant l’analyse</w:t>
      </w:r>
      <w:r w:rsidR="00954ABB" w:rsidRPr="00C86B0D">
        <w:rPr>
          <w:b/>
          <w:sz w:val="24"/>
        </w:rPr>
        <w:t>/inclusion</w:t>
      </w:r>
      <w:r w:rsidR="004E5107" w:rsidRPr="00C86B0D">
        <w:rPr>
          <w:b/>
          <w:sz w:val="24"/>
        </w:rPr>
        <w:t xml:space="preserve"> du gène</w:t>
      </w:r>
      <w:r w:rsidR="00954ABB" w:rsidRPr="00C86B0D">
        <w:rPr>
          <w:b/>
          <w:sz w:val="24"/>
        </w:rPr>
        <w:t> </w:t>
      </w:r>
      <w:r w:rsidR="00637AD9" w:rsidRPr="00C86B0D">
        <w:rPr>
          <w:b/>
          <w:i/>
          <w:sz w:val="24"/>
        </w:rPr>
        <w:t>MSH3</w:t>
      </w:r>
      <w:r w:rsidR="004E5107" w:rsidRPr="00C86B0D">
        <w:rPr>
          <w:b/>
          <w:sz w:val="24"/>
        </w:rPr>
        <w:t xml:space="preserve"> </w:t>
      </w:r>
      <w:r w:rsidR="0019740A" w:rsidRPr="00C86B0D">
        <w:rPr>
          <w:b/>
          <w:sz w:val="24"/>
        </w:rPr>
        <w:t xml:space="preserve">dans le panel « tube digestif » </w:t>
      </w:r>
    </w:p>
    <w:p w:rsidR="00A52FC5" w:rsidRPr="00C86B0D" w:rsidRDefault="00C22345" w:rsidP="00A52FC5">
      <w:pPr>
        <w:spacing w:after="0" w:line="360" w:lineRule="auto"/>
        <w:jc w:val="both"/>
        <w:rPr>
          <w:sz w:val="24"/>
        </w:rPr>
      </w:pPr>
      <w:r w:rsidRPr="00C86B0D">
        <w:rPr>
          <w:sz w:val="24"/>
        </w:rPr>
        <w:t xml:space="preserve">Le gène </w:t>
      </w:r>
      <w:r w:rsidRPr="00C86B0D">
        <w:rPr>
          <w:i/>
          <w:sz w:val="24"/>
        </w:rPr>
        <w:t>MSH3</w:t>
      </w:r>
      <w:r w:rsidRPr="00C86B0D">
        <w:rPr>
          <w:sz w:val="24"/>
        </w:rPr>
        <w:t xml:space="preserve"> semble </w:t>
      </w:r>
      <w:r w:rsidR="00A52FC5" w:rsidRPr="00C86B0D">
        <w:rPr>
          <w:sz w:val="24"/>
        </w:rPr>
        <w:t xml:space="preserve">avoir une utilité </w:t>
      </w:r>
      <w:proofErr w:type="gramStart"/>
      <w:r w:rsidR="00A52FC5" w:rsidRPr="00C86B0D">
        <w:rPr>
          <w:sz w:val="24"/>
        </w:rPr>
        <w:t>clinique ,</w:t>
      </w:r>
      <w:proofErr w:type="gramEnd"/>
      <w:r w:rsidR="00A52FC5" w:rsidRPr="00C86B0D">
        <w:rPr>
          <w:sz w:val="24"/>
        </w:rPr>
        <w:t xml:space="preserve"> bien que rapportés dans une seule étude : </w:t>
      </w:r>
    </w:p>
    <w:p w:rsidR="00A52FC5" w:rsidRPr="00C86B0D" w:rsidRDefault="00982D11" w:rsidP="00A52FC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 w:rsidRPr="00C86B0D">
        <w:rPr>
          <w:sz w:val="24"/>
        </w:rPr>
        <w:t>l</w:t>
      </w:r>
      <w:r w:rsidR="00C22345" w:rsidRPr="00C86B0D">
        <w:rPr>
          <w:sz w:val="24"/>
        </w:rPr>
        <w:t xml:space="preserve">e phénotype « EMAST » </w:t>
      </w:r>
      <w:r w:rsidR="00A52FC5" w:rsidRPr="00C86B0D">
        <w:rPr>
          <w:sz w:val="24"/>
        </w:rPr>
        <w:t xml:space="preserve">suggère l’imputabilité du gène </w:t>
      </w:r>
      <w:r w:rsidR="00A52FC5" w:rsidRPr="00C86B0D">
        <w:rPr>
          <w:i/>
          <w:sz w:val="24"/>
        </w:rPr>
        <w:t>MSH3</w:t>
      </w:r>
      <w:r w:rsidR="00A52FC5" w:rsidRPr="00C86B0D">
        <w:rPr>
          <w:sz w:val="24"/>
        </w:rPr>
        <w:t xml:space="preserve"> dans le phénotype tumoral </w:t>
      </w:r>
    </w:p>
    <w:p w:rsidR="00A52FC5" w:rsidRPr="00C86B0D" w:rsidRDefault="00C22345" w:rsidP="00A52FC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sz w:val="24"/>
        </w:rPr>
      </w:pPr>
      <w:r w:rsidRPr="00C86B0D">
        <w:rPr>
          <w:sz w:val="24"/>
        </w:rPr>
        <w:t xml:space="preserve">la perte d’expression </w:t>
      </w:r>
      <w:proofErr w:type="spellStart"/>
      <w:r w:rsidRPr="00C86B0D">
        <w:rPr>
          <w:sz w:val="24"/>
        </w:rPr>
        <w:t>immunohistochimique</w:t>
      </w:r>
      <w:proofErr w:type="spellEnd"/>
      <w:r w:rsidRPr="00C86B0D">
        <w:rPr>
          <w:sz w:val="24"/>
        </w:rPr>
        <w:t xml:space="preserve"> de la protéine </w:t>
      </w:r>
      <w:r w:rsidRPr="00C86B0D">
        <w:rPr>
          <w:i/>
          <w:sz w:val="24"/>
        </w:rPr>
        <w:t>MSH3</w:t>
      </w:r>
      <w:r w:rsidR="00A52FC5" w:rsidRPr="00C86B0D">
        <w:rPr>
          <w:sz w:val="24"/>
        </w:rPr>
        <w:t xml:space="preserve"> suggère</w:t>
      </w:r>
      <w:r w:rsidRPr="00C86B0D">
        <w:rPr>
          <w:sz w:val="24"/>
        </w:rPr>
        <w:t xml:space="preserve"> l’imputabilité du gène </w:t>
      </w:r>
      <w:r w:rsidRPr="00C86B0D">
        <w:rPr>
          <w:i/>
          <w:sz w:val="24"/>
        </w:rPr>
        <w:t>MSH3</w:t>
      </w:r>
      <w:r w:rsidRPr="00C86B0D">
        <w:rPr>
          <w:sz w:val="24"/>
        </w:rPr>
        <w:t xml:space="preserve"> dans le phénotype tumoral</w:t>
      </w:r>
      <w:r w:rsidR="00A52FC5" w:rsidRPr="00C86B0D">
        <w:rPr>
          <w:sz w:val="24"/>
        </w:rPr>
        <w:t> </w:t>
      </w:r>
    </w:p>
    <w:p w:rsidR="00C22345" w:rsidRPr="00C86B0D" w:rsidRDefault="00C22345" w:rsidP="00C22345">
      <w:pPr>
        <w:spacing w:after="0" w:line="360" w:lineRule="auto"/>
        <w:jc w:val="both"/>
        <w:rPr>
          <w:sz w:val="24"/>
        </w:rPr>
      </w:pPr>
      <w:r w:rsidRPr="00C86B0D">
        <w:rPr>
          <w:sz w:val="24"/>
        </w:rPr>
        <w:t xml:space="preserve">Cependant en raison des incertitudes </w:t>
      </w:r>
      <w:r w:rsidR="00A52FC5" w:rsidRPr="00C86B0D">
        <w:rPr>
          <w:sz w:val="24"/>
        </w:rPr>
        <w:t>sur la contribution</w:t>
      </w:r>
      <w:r w:rsidRPr="00C86B0D">
        <w:rPr>
          <w:sz w:val="24"/>
        </w:rPr>
        <w:t xml:space="preserve"> des mutations bi-alléliques du gène </w:t>
      </w:r>
      <w:r w:rsidRPr="00C86B0D">
        <w:rPr>
          <w:i/>
          <w:sz w:val="24"/>
        </w:rPr>
        <w:t>MSH3</w:t>
      </w:r>
      <w:r w:rsidRPr="00C86B0D">
        <w:rPr>
          <w:sz w:val="24"/>
        </w:rPr>
        <w:t xml:space="preserve"> </w:t>
      </w:r>
      <w:r w:rsidR="00A52FC5" w:rsidRPr="00C86B0D">
        <w:rPr>
          <w:sz w:val="24"/>
        </w:rPr>
        <w:t xml:space="preserve">dans le risque tumoral digestif et sur </w:t>
      </w:r>
      <w:r w:rsidRPr="00C86B0D">
        <w:rPr>
          <w:sz w:val="24"/>
        </w:rPr>
        <w:t>la surveillance à adopter pour les personnes non porteuses d’une mutation bi-allélique, il est prématuré de l’inclure dans le panel diagnosti</w:t>
      </w:r>
      <w:r w:rsidR="00A52FC5" w:rsidRPr="00C86B0D">
        <w:rPr>
          <w:sz w:val="24"/>
        </w:rPr>
        <w:t>c</w:t>
      </w:r>
      <w:r w:rsidRPr="00C86B0D">
        <w:rPr>
          <w:sz w:val="24"/>
        </w:rPr>
        <w:t xml:space="preserve"> « tube digestif ».</w:t>
      </w:r>
    </w:p>
    <w:p w:rsidR="00C22345" w:rsidRPr="00C86B0D" w:rsidRDefault="00A52FC5" w:rsidP="00C22345">
      <w:pPr>
        <w:spacing w:after="0" w:line="360" w:lineRule="auto"/>
        <w:jc w:val="both"/>
        <w:rPr>
          <w:sz w:val="24"/>
        </w:rPr>
      </w:pPr>
      <w:r w:rsidRPr="00C86B0D">
        <w:rPr>
          <w:i/>
          <w:sz w:val="24"/>
        </w:rPr>
        <w:lastRenderedPageBreak/>
        <w:t>MSH3</w:t>
      </w:r>
      <w:r w:rsidRPr="00C86B0D">
        <w:rPr>
          <w:sz w:val="24"/>
        </w:rPr>
        <w:t xml:space="preserve"> </w:t>
      </w:r>
      <w:r w:rsidRPr="00C86B0D">
        <w:t xml:space="preserve">étant un gène candidat, une veille scientifique soutenue et une </w:t>
      </w:r>
      <w:proofErr w:type="spellStart"/>
      <w:r w:rsidRPr="00C86B0D">
        <w:t>ré-évaluation</w:t>
      </w:r>
      <w:proofErr w:type="spellEnd"/>
      <w:r w:rsidRPr="00C86B0D">
        <w:t xml:space="preserve"> régulière des données disponibles sont indispensables.  </w:t>
      </w:r>
    </w:p>
    <w:p w:rsidR="002321B0" w:rsidRPr="00C86B0D" w:rsidRDefault="002321B0" w:rsidP="008179A4">
      <w:pPr>
        <w:spacing w:after="0" w:line="360" w:lineRule="auto"/>
        <w:jc w:val="both"/>
      </w:pPr>
    </w:p>
    <w:p w:rsidR="002321B0" w:rsidRPr="00C86B0D" w:rsidRDefault="002321B0" w:rsidP="0081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C86B0D">
        <w:rPr>
          <w:b/>
        </w:rPr>
        <w:t>En</w:t>
      </w:r>
      <w:r w:rsidR="008207DD" w:rsidRPr="00C86B0D">
        <w:rPr>
          <w:b/>
        </w:rPr>
        <w:t xml:space="preserve"> conséquence,  en</w:t>
      </w:r>
      <w:r w:rsidRPr="00C86B0D">
        <w:rPr>
          <w:b/>
        </w:rPr>
        <w:t xml:space="preserve"> l’absence d’utilité clinique reconnue, le gène </w:t>
      </w:r>
      <w:r w:rsidR="00637AD9" w:rsidRPr="00C86B0D">
        <w:rPr>
          <w:b/>
          <w:i/>
        </w:rPr>
        <w:t>MSH3</w:t>
      </w:r>
      <w:r w:rsidRPr="00C86B0D">
        <w:rPr>
          <w:b/>
        </w:rPr>
        <w:t xml:space="preserve"> n’est pas</w:t>
      </w:r>
      <w:r w:rsidR="00913C10" w:rsidRPr="00C86B0D">
        <w:rPr>
          <w:b/>
        </w:rPr>
        <w:t xml:space="preserve"> </w:t>
      </w:r>
      <w:r w:rsidRPr="00C86B0D">
        <w:rPr>
          <w:b/>
        </w:rPr>
        <w:t>inclus dans le panel de gènes</w:t>
      </w:r>
      <w:r w:rsidR="008207DD" w:rsidRPr="00C86B0D">
        <w:rPr>
          <w:b/>
        </w:rPr>
        <w:t xml:space="preserve"> diagnostic</w:t>
      </w:r>
      <w:r w:rsidRPr="00C86B0D">
        <w:rPr>
          <w:b/>
        </w:rPr>
        <w:t xml:space="preserve"> </w:t>
      </w:r>
      <w:r w:rsidR="00A60CE7" w:rsidRPr="00C86B0D">
        <w:rPr>
          <w:b/>
        </w:rPr>
        <w:t>« tube digestif »</w:t>
      </w:r>
      <w:r w:rsidRPr="00C86B0D">
        <w:t xml:space="preserve">. </w:t>
      </w:r>
    </w:p>
    <w:p w:rsidR="0065033D" w:rsidRPr="00C86B0D" w:rsidRDefault="0065033D" w:rsidP="008179A4">
      <w:pPr>
        <w:spacing w:after="0" w:line="360" w:lineRule="auto"/>
        <w:jc w:val="both"/>
      </w:pPr>
    </w:p>
    <w:p w:rsidR="00CE5951" w:rsidRPr="00C86B0D" w:rsidRDefault="00CE5951" w:rsidP="008179A4">
      <w:pPr>
        <w:spacing w:after="0" w:line="360" w:lineRule="auto"/>
        <w:jc w:val="both"/>
        <w:rPr>
          <w:sz w:val="12"/>
        </w:rPr>
      </w:pPr>
    </w:p>
    <w:p w:rsidR="001908A3" w:rsidRPr="00C86B0D" w:rsidRDefault="005E3D7C" w:rsidP="008179A4">
      <w:pPr>
        <w:spacing w:after="0" w:line="360" w:lineRule="auto"/>
        <w:jc w:val="both"/>
        <w:rPr>
          <w:sz w:val="24"/>
          <w:szCs w:val="24"/>
        </w:rPr>
      </w:pPr>
      <w:r w:rsidRPr="00C86B0D">
        <w:rPr>
          <w:b/>
          <w:sz w:val="24"/>
          <w:szCs w:val="24"/>
        </w:rPr>
        <w:t>4</w:t>
      </w:r>
      <w:r w:rsidR="001908A3" w:rsidRPr="00C86B0D">
        <w:rPr>
          <w:b/>
          <w:sz w:val="24"/>
          <w:szCs w:val="24"/>
        </w:rPr>
        <w:t xml:space="preserve"> </w:t>
      </w:r>
      <w:r w:rsidR="00AF11BD" w:rsidRPr="00C86B0D">
        <w:rPr>
          <w:b/>
          <w:sz w:val="24"/>
          <w:szCs w:val="24"/>
        </w:rPr>
        <w:t>Conduite à tenir chez un</w:t>
      </w:r>
      <w:r w:rsidR="001908A3" w:rsidRPr="00C86B0D">
        <w:rPr>
          <w:b/>
          <w:sz w:val="24"/>
          <w:szCs w:val="24"/>
        </w:rPr>
        <w:t xml:space="preserve"> individu</w:t>
      </w:r>
      <w:r w:rsidR="00CD7F44" w:rsidRPr="00C86B0D">
        <w:rPr>
          <w:b/>
          <w:sz w:val="24"/>
          <w:szCs w:val="24"/>
        </w:rPr>
        <w:t xml:space="preserve"> </w:t>
      </w:r>
      <w:r w:rsidR="00AF11BD" w:rsidRPr="00C86B0D">
        <w:rPr>
          <w:b/>
          <w:sz w:val="24"/>
          <w:szCs w:val="24"/>
        </w:rPr>
        <w:t>porteu</w:t>
      </w:r>
      <w:r w:rsidR="00CD7F44" w:rsidRPr="00C86B0D">
        <w:rPr>
          <w:b/>
          <w:sz w:val="24"/>
          <w:szCs w:val="24"/>
        </w:rPr>
        <w:t>r</w:t>
      </w:r>
      <w:r w:rsidR="00AF11BD" w:rsidRPr="00C86B0D">
        <w:rPr>
          <w:b/>
          <w:sz w:val="24"/>
          <w:szCs w:val="24"/>
        </w:rPr>
        <w:t xml:space="preserve"> d’une mutation</w:t>
      </w:r>
      <w:r w:rsidR="00913C10" w:rsidRPr="00C86B0D">
        <w:rPr>
          <w:b/>
          <w:sz w:val="24"/>
          <w:szCs w:val="24"/>
        </w:rPr>
        <w:t xml:space="preserve"> constitutionnelle</w:t>
      </w:r>
      <w:r w:rsidR="00AF11BD" w:rsidRPr="00C86B0D">
        <w:rPr>
          <w:b/>
          <w:sz w:val="24"/>
          <w:szCs w:val="24"/>
        </w:rPr>
        <w:t xml:space="preserve"> d</w:t>
      </w:r>
      <w:r w:rsidR="00510A2D" w:rsidRPr="00C86B0D">
        <w:rPr>
          <w:b/>
          <w:sz w:val="24"/>
          <w:szCs w:val="24"/>
        </w:rPr>
        <w:t>u</w:t>
      </w:r>
      <w:r w:rsidR="00AF11BD" w:rsidRPr="00C86B0D">
        <w:rPr>
          <w:b/>
          <w:sz w:val="24"/>
          <w:szCs w:val="24"/>
        </w:rPr>
        <w:t xml:space="preserve"> gène</w:t>
      </w:r>
      <w:r w:rsidR="0065033D" w:rsidRPr="00C86B0D">
        <w:rPr>
          <w:b/>
          <w:sz w:val="24"/>
          <w:szCs w:val="24"/>
        </w:rPr>
        <w:t> </w:t>
      </w:r>
      <w:r w:rsidR="001908A3" w:rsidRPr="00C86B0D">
        <w:rPr>
          <w:b/>
          <w:i/>
          <w:sz w:val="24"/>
          <w:szCs w:val="24"/>
        </w:rPr>
        <w:t>MSH3</w:t>
      </w:r>
      <w:r w:rsidR="0065033D" w:rsidRPr="00C86B0D">
        <w:rPr>
          <w:b/>
          <w:sz w:val="24"/>
          <w:szCs w:val="24"/>
        </w:rPr>
        <w:t xml:space="preserve"> identifiée avant la publication des </w:t>
      </w:r>
      <w:r w:rsidR="00913C10" w:rsidRPr="00C86B0D">
        <w:rPr>
          <w:b/>
          <w:sz w:val="24"/>
          <w:szCs w:val="24"/>
        </w:rPr>
        <w:t xml:space="preserve">présentes </w:t>
      </w:r>
      <w:r w:rsidR="0065033D" w:rsidRPr="00C86B0D">
        <w:rPr>
          <w:b/>
          <w:sz w:val="24"/>
          <w:szCs w:val="24"/>
        </w:rPr>
        <w:t>recommandations</w:t>
      </w:r>
      <w:r w:rsidR="00F85212" w:rsidRPr="00C86B0D">
        <w:rPr>
          <w:b/>
          <w:sz w:val="24"/>
          <w:szCs w:val="24"/>
        </w:rPr>
        <w:t> (projet</w:t>
      </w:r>
      <w:r w:rsidR="00C96B26" w:rsidRPr="00C86B0D">
        <w:rPr>
          <w:b/>
          <w:sz w:val="24"/>
          <w:szCs w:val="24"/>
        </w:rPr>
        <w:t>s</w:t>
      </w:r>
      <w:r w:rsidR="00F85212" w:rsidRPr="00C86B0D">
        <w:rPr>
          <w:b/>
          <w:sz w:val="24"/>
          <w:szCs w:val="24"/>
        </w:rPr>
        <w:t xml:space="preserve"> pil</w:t>
      </w:r>
      <w:r w:rsidR="00CD7F44" w:rsidRPr="00C86B0D">
        <w:rPr>
          <w:b/>
          <w:sz w:val="24"/>
          <w:szCs w:val="24"/>
        </w:rPr>
        <w:t>ote</w:t>
      </w:r>
      <w:r w:rsidR="00C96B26" w:rsidRPr="00C86B0D">
        <w:rPr>
          <w:b/>
          <w:sz w:val="24"/>
          <w:szCs w:val="24"/>
        </w:rPr>
        <w:t>s</w:t>
      </w:r>
      <w:r w:rsidR="00CD7F44" w:rsidRPr="00C86B0D">
        <w:rPr>
          <w:b/>
          <w:sz w:val="24"/>
          <w:szCs w:val="24"/>
        </w:rPr>
        <w:t xml:space="preserve"> d’analyse</w:t>
      </w:r>
      <w:r w:rsidR="00913C10" w:rsidRPr="00C86B0D">
        <w:rPr>
          <w:b/>
          <w:sz w:val="24"/>
          <w:szCs w:val="24"/>
        </w:rPr>
        <w:t>s</w:t>
      </w:r>
      <w:r w:rsidR="00CD7F44" w:rsidRPr="00C86B0D">
        <w:rPr>
          <w:b/>
          <w:sz w:val="24"/>
          <w:szCs w:val="24"/>
        </w:rPr>
        <w:t xml:space="preserve"> en panel de gènes</w:t>
      </w:r>
      <w:r w:rsidR="00F85212" w:rsidRPr="00C86B0D">
        <w:rPr>
          <w:b/>
          <w:sz w:val="24"/>
          <w:szCs w:val="24"/>
        </w:rPr>
        <w:t>)</w:t>
      </w:r>
      <w:r w:rsidR="00F85212" w:rsidRPr="00C86B0D">
        <w:rPr>
          <w:sz w:val="24"/>
          <w:szCs w:val="24"/>
        </w:rPr>
        <w:t xml:space="preserve"> :</w:t>
      </w:r>
    </w:p>
    <w:p w:rsidR="00F31698" w:rsidRPr="00C86B0D" w:rsidRDefault="00F31698" w:rsidP="008179A4">
      <w:pPr>
        <w:spacing w:after="0" w:line="360" w:lineRule="auto"/>
        <w:jc w:val="both"/>
        <w:rPr>
          <w:sz w:val="24"/>
          <w:szCs w:val="24"/>
        </w:rPr>
      </w:pPr>
    </w:p>
    <w:p w:rsidR="00970FAF" w:rsidRPr="00C86B0D" w:rsidRDefault="005E3D7C" w:rsidP="00970FAF">
      <w:pPr>
        <w:spacing w:after="0" w:line="360" w:lineRule="auto"/>
        <w:jc w:val="both"/>
        <w:rPr>
          <w:b/>
        </w:rPr>
      </w:pPr>
      <w:r w:rsidRPr="00C86B0D">
        <w:rPr>
          <w:b/>
        </w:rPr>
        <w:t>4</w:t>
      </w:r>
      <w:r w:rsidR="00913C10" w:rsidRPr="00C86B0D">
        <w:rPr>
          <w:b/>
        </w:rPr>
        <w:t xml:space="preserve">.1 </w:t>
      </w:r>
      <w:r w:rsidR="00970FAF" w:rsidRPr="00C86B0D">
        <w:rPr>
          <w:b/>
        </w:rPr>
        <w:t xml:space="preserve">Conduite à tenir chez un individu porteur d’une mutation bi-allélique du gène </w:t>
      </w:r>
      <w:r w:rsidR="00970FAF" w:rsidRPr="00C86B0D">
        <w:rPr>
          <w:b/>
          <w:i/>
        </w:rPr>
        <w:t>MSH3</w:t>
      </w:r>
      <w:r w:rsidR="000E6CC3" w:rsidRPr="00C86B0D">
        <w:rPr>
          <w:b/>
          <w:i/>
        </w:rPr>
        <w:t xml:space="preserve"> </w:t>
      </w:r>
      <w:r w:rsidR="000E6CC3" w:rsidRPr="00C86B0D">
        <w:rPr>
          <w:b/>
        </w:rPr>
        <w:t xml:space="preserve">mise en évidence dans un contexte de polypose / adénomes multiples : </w:t>
      </w:r>
      <w:r w:rsidR="00970FAF" w:rsidRPr="00C86B0D">
        <w:rPr>
          <w:b/>
        </w:rPr>
        <w:t xml:space="preserve"> 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Il convient de poursuivre la surveillance endoscopique requise compte tenu du phénotype digestif pathologique.</w:t>
      </w:r>
    </w:p>
    <w:p w:rsidR="000E6CC3" w:rsidRPr="00C86B0D" w:rsidRDefault="000E6CC3" w:rsidP="000E6CC3">
      <w:pPr>
        <w:spacing w:after="0" w:line="360" w:lineRule="auto"/>
        <w:jc w:val="both"/>
        <w:rPr>
          <w:strike/>
        </w:rPr>
      </w:pPr>
      <w:r w:rsidRPr="00C86B0D">
        <w:rPr>
          <w:b/>
        </w:rPr>
        <w:t>* </w:t>
      </w:r>
      <w:r w:rsidRPr="00C86B0D">
        <w:t>D’une façon générale, l’indication et les modalités de la surveillance colorectale reposent sur les caractéristiques de l’histoire personnelle (phénotype colique) et/ou familiale, conformément aux recommandations des référentiels HAS et des sociétés savantes.</w:t>
      </w:r>
    </w:p>
    <w:p w:rsidR="000E6CC3" w:rsidRPr="00C86B0D" w:rsidRDefault="000E6CC3" w:rsidP="000E6CC3">
      <w:pPr>
        <w:spacing w:after="0" w:line="360" w:lineRule="auto"/>
        <w:jc w:val="both"/>
        <w:rPr>
          <w:strike/>
        </w:rPr>
      </w:pPr>
      <w:r w:rsidRPr="00C86B0D">
        <w:rPr>
          <w:b/>
        </w:rPr>
        <w:t>* </w:t>
      </w:r>
      <w:r w:rsidRPr="00C86B0D">
        <w:t xml:space="preserve">Mise en place d’une surveillance endoscopique du tube digestif supérieur en cas de polypose </w:t>
      </w:r>
      <w:proofErr w:type="spellStart"/>
      <w:r w:rsidRPr="00C86B0D">
        <w:t>adénomateuse</w:t>
      </w:r>
      <w:proofErr w:type="spellEnd"/>
      <w:r w:rsidRPr="00C86B0D">
        <w:t xml:space="preserve"> colorectale/ polypes </w:t>
      </w:r>
      <w:proofErr w:type="spellStart"/>
      <w:r w:rsidRPr="00C86B0D">
        <w:t>adénomateux</w:t>
      </w:r>
      <w:proofErr w:type="spellEnd"/>
      <w:r w:rsidRPr="00C86B0D">
        <w:t xml:space="preserve"> multiples, conformément aux recommandations des référentiels HAS et des sociétés savantes.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rPr>
          <w:b/>
        </w:rPr>
        <w:t>* </w:t>
      </w:r>
      <w:r w:rsidRPr="00C86B0D">
        <w:t>Information de la personne sur l’insuffisance des connaissances relatives à la contribution des mutations identifiées  dans le phénotype digestif conduisant à ne pas proposer de tests ciblés chez les apparentés.</w:t>
      </w:r>
    </w:p>
    <w:p w:rsidR="00970FAF" w:rsidRPr="00C86B0D" w:rsidRDefault="00970FAF" w:rsidP="00970FAF">
      <w:pPr>
        <w:spacing w:after="0" w:line="360" w:lineRule="auto"/>
        <w:jc w:val="both"/>
        <w:rPr>
          <w:b/>
        </w:rPr>
      </w:pPr>
    </w:p>
    <w:p w:rsidR="00970FAF" w:rsidRPr="00C86B0D" w:rsidRDefault="005E3D7C" w:rsidP="00970FAF">
      <w:pPr>
        <w:jc w:val="both"/>
        <w:rPr>
          <w:b/>
        </w:rPr>
      </w:pPr>
      <w:r w:rsidRPr="00C86B0D">
        <w:rPr>
          <w:b/>
        </w:rPr>
        <w:t>4</w:t>
      </w:r>
      <w:r w:rsidR="00913C10" w:rsidRPr="00C86B0D">
        <w:rPr>
          <w:b/>
        </w:rPr>
        <w:t xml:space="preserve">.2 </w:t>
      </w:r>
      <w:r w:rsidR="00970FAF" w:rsidRPr="00C86B0D">
        <w:rPr>
          <w:b/>
        </w:rPr>
        <w:t xml:space="preserve">Conduite à tenir chez un individu porteur d’une mutation bi-allélique du gène </w:t>
      </w:r>
      <w:r w:rsidR="00970FAF" w:rsidRPr="00C86B0D">
        <w:rPr>
          <w:b/>
          <w:i/>
        </w:rPr>
        <w:t>MSH3</w:t>
      </w:r>
      <w:r w:rsidR="00970FAF" w:rsidRPr="00C86B0D">
        <w:rPr>
          <w:b/>
        </w:rPr>
        <w:t xml:space="preserve"> identifiée en dehors d’un contexte personnel ou familial de tumeurs du tube digestif.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 xml:space="preserve">* Bilan endoscopique digestif de référence à l’âge adulte par coloscopie totale avec chromo endoscopie et fibroscopie </w:t>
      </w:r>
      <w:proofErr w:type="spellStart"/>
      <w:r w:rsidRPr="00C86B0D">
        <w:t>oeso</w:t>
      </w:r>
      <w:proofErr w:type="spellEnd"/>
      <w:r w:rsidRPr="00C86B0D">
        <w:t>-</w:t>
      </w:r>
      <w:proofErr w:type="spellStart"/>
      <w:r w:rsidRPr="00C86B0D">
        <w:t>gastro-duodénale</w:t>
      </w:r>
      <w:proofErr w:type="spellEnd"/>
      <w:r w:rsidRPr="00C86B0D">
        <w:t>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* Suite de la prise en charge basée sur les constatations de cette exploration</w:t>
      </w:r>
    </w:p>
    <w:p w:rsidR="0029551C" w:rsidRPr="00C86B0D" w:rsidRDefault="0029551C" w:rsidP="00970FAF">
      <w:pPr>
        <w:spacing w:after="0" w:line="360" w:lineRule="auto"/>
        <w:jc w:val="both"/>
      </w:pPr>
    </w:p>
    <w:p w:rsidR="0029551C" w:rsidRPr="00C86B0D" w:rsidRDefault="005E3D7C" w:rsidP="0029551C">
      <w:pPr>
        <w:spacing w:after="0" w:line="360" w:lineRule="auto"/>
        <w:jc w:val="both"/>
        <w:rPr>
          <w:b/>
        </w:rPr>
      </w:pPr>
      <w:r w:rsidRPr="00C86B0D">
        <w:rPr>
          <w:b/>
        </w:rPr>
        <w:t>4</w:t>
      </w:r>
      <w:r w:rsidR="00913C10" w:rsidRPr="00C86B0D">
        <w:rPr>
          <w:b/>
        </w:rPr>
        <w:t xml:space="preserve">.3 </w:t>
      </w:r>
      <w:r w:rsidR="0029551C" w:rsidRPr="00C86B0D">
        <w:rPr>
          <w:b/>
        </w:rPr>
        <w:t xml:space="preserve">Conduite à tenir chez un individu porteur d’une mutation mono-allélique du gène </w:t>
      </w:r>
      <w:r w:rsidR="0029551C" w:rsidRPr="00C86B0D">
        <w:rPr>
          <w:b/>
          <w:i/>
        </w:rPr>
        <w:t>MSH3</w:t>
      </w:r>
      <w:r w:rsidR="0029551C" w:rsidRPr="00C86B0D">
        <w:rPr>
          <w:b/>
        </w:rPr>
        <w:t>: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lastRenderedPageBreak/>
        <w:t xml:space="preserve">* Pas d’indication d’exploration endoscopique systématique fondée sur ce seul génotype (c’est-à-dire en l’absence d’histoire personnelle et/ou familiale) 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 xml:space="preserve">* L’indication et les modalités de la surveillance colorectale reposent sur les caractéristiques de l’histoire personnelle (phénotype digestif) et/ou familiale, conformément aux recommandations des référentiels HAS et des sociétés savantes. </w:t>
      </w:r>
    </w:p>
    <w:p w:rsidR="000E6CC3" w:rsidRPr="00C86B0D" w:rsidRDefault="000E6CC3" w:rsidP="000E6CC3">
      <w:pPr>
        <w:spacing w:after="0" w:line="360" w:lineRule="auto"/>
        <w:jc w:val="both"/>
        <w:rPr>
          <w:b/>
          <w:sz w:val="24"/>
          <w:szCs w:val="24"/>
        </w:rPr>
      </w:pPr>
    </w:p>
    <w:p w:rsidR="000E6CC3" w:rsidRPr="00C86B0D" w:rsidRDefault="005E3D7C" w:rsidP="000E6CC3">
      <w:pPr>
        <w:spacing w:after="0" w:line="360" w:lineRule="auto"/>
        <w:jc w:val="both"/>
        <w:rPr>
          <w:b/>
          <w:i/>
          <w:sz w:val="24"/>
          <w:szCs w:val="24"/>
        </w:rPr>
      </w:pPr>
      <w:r w:rsidRPr="00C86B0D">
        <w:rPr>
          <w:b/>
          <w:sz w:val="24"/>
          <w:szCs w:val="24"/>
        </w:rPr>
        <w:t xml:space="preserve">5 </w:t>
      </w:r>
      <w:r w:rsidR="000E6CC3" w:rsidRPr="00C86B0D">
        <w:rPr>
          <w:b/>
          <w:sz w:val="24"/>
          <w:szCs w:val="24"/>
        </w:rPr>
        <w:t xml:space="preserve">Indication de tests ciblés chez les apparentés de patients avec polypose / cancers digestifs et mutations bi-alléliques de </w:t>
      </w:r>
      <w:r w:rsidR="000E6CC3" w:rsidRPr="00C86B0D">
        <w:rPr>
          <w:b/>
          <w:i/>
          <w:sz w:val="24"/>
          <w:szCs w:val="24"/>
        </w:rPr>
        <w:t>MSH3.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* Pas d’indication de tests ciblés compte tenu de l’incertitude concernant la contribution du génotype dans le phénotype digestif.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* L’absence de mutation ou la présence d’une mutation mono allélique ne permet pas de lever la surveillance endoscopique digestive chez les apparentés.</w:t>
      </w:r>
    </w:p>
    <w:p w:rsidR="00F31698" w:rsidRPr="00C86B0D" w:rsidRDefault="00F31698" w:rsidP="008179A4">
      <w:pPr>
        <w:spacing w:after="0" w:line="360" w:lineRule="auto"/>
        <w:jc w:val="both"/>
        <w:rPr>
          <w:sz w:val="24"/>
          <w:szCs w:val="24"/>
        </w:rPr>
      </w:pPr>
    </w:p>
    <w:p w:rsidR="001908A3" w:rsidRPr="00C86B0D" w:rsidRDefault="001908A3" w:rsidP="008179A4">
      <w:pPr>
        <w:spacing w:after="0" w:line="360" w:lineRule="auto"/>
        <w:jc w:val="both"/>
      </w:pPr>
    </w:p>
    <w:p w:rsidR="001908A3" w:rsidRPr="00C86B0D" w:rsidRDefault="005E3D7C" w:rsidP="008179A4">
      <w:pPr>
        <w:spacing w:after="0" w:line="360" w:lineRule="auto"/>
        <w:jc w:val="both"/>
        <w:rPr>
          <w:b/>
          <w:sz w:val="24"/>
        </w:rPr>
      </w:pPr>
      <w:r w:rsidRPr="00C86B0D">
        <w:rPr>
          <w:b/>
          <w:sz w:val="24"/>
        </w:rPr>
        <w:t>6</w:t>
      </w:r>
      <w:r w:rsidR="001908A3" w:rsidRPr="00C86B0D">
        <w:rPr>
          <w:b/>
          <w:sz w:val="24"/>
        </w:rPr>
        <w:t xml:space="preserve"> Autres préconisations et perspectives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 xml:space="preserve">* Inclusion dans un </w:t>
      </w:r>
      <w:r w:rsidRPr="00C86B0D">
        <w:rPr>
          <w:b/>
        </w:rPr>
        <w:t>programme de recherche prioritaire</w:t>
      </w:r>
      <w:r w:rsidRPr="00C86B0D">
        <w:t xml:space="preserve"> visant à :</w:t>
      </w:r>
    </w:p>
    <w:p w:rsidR="000E6CC3" w:rsidRPr="00C86B0D" w:rsidRDefault="000E6CC3" w:rsidP="000E6CC3">
      <w:pPr>
        <w:spacing w:after="0" w:line="360" w:lineRule="auto"/>
        <w:jc w:val="both"/>
        <w:rPr>
          <w:i/>
        </w:rPr>
      </w:pPr>
      <w:r w:rsidRPr="00C86B0D">
        <w:t>i) préciser les phénotypes associés aux mutations mono- et bi-alléliques du gène</w:t>
      </w:r>
      <w:r w:rsidRPr="00C86B0D">
        <w:rPr>
          <w:i/>
        </w:rPr>
        <w:t xml:space="preserve"> MSH3.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ii) évaluer la contribution du génotype au phénotype digestif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>iii) estimer les risques absolus de polypose et de cancers colorectaux et duodénaux.</w:t>
      </w:r>
    </w:p>
    <w:p w:rsidR="000E6CC3" w:rsidRPr="00C86B0D" w:rsidRDefault="000E6CC3" w:rsidP="000E6CC3">
      <w:pPr>
        <w:spacing w:after="0" w:line="360" w:lineRule="auto"/>
        <w:jc w:val="both"/>
      </w:pPr>
      <w:r w:rsidRPr="00C86B0D">
        <w:t xml:space="preserve">* Importance de la </w:t>
      </w:r>
      <w:r w:rsidRPr="00C86B0D">
        <w:rPr>
          <w:b/>
        </w:rPr>
        <w:t>veille bibliographique</w:t>
      </w:r>
      <w:r w:rsidRPr="00C86B0D">
        <w:t xml:space="preserve"> et réévaluation à court terme (horizon 2019) de l’utilité clinique</w:t>
      </w:r>
    </w:p>
    <w:p w:rsidR="000E6CC3" w:rsidRPr="00C86B0D" w:rsidRDefault="000E6CC3" w:rsidP="000E6CC3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C86B0D">
        <w:t xml:space="preserve">*Pas d’indication de test constitutionnel chez les patients chez qui a été identifiée une mutation tumorale du gène </w:t>
      </w:r>
      <w:r w:rsidRPr="00C86B0D">
        <w:rPr>
          <w:i/>
        </w:rPr>
        <w:t>MSH3.</w:t>
      </w:r>
    </w:p>
    <w:p w:rsidR="001908A3" w:rsidRPr="00C86B0D" w:rsidRDefault="001908A3" w:rsidP="000E6CC3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sectPr w:rsidR="001908A3" w:rsidRPr="00C86B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81" w:rsidRDefault="00B86581" w:rsidP="00510A2D">
      <w:pPr>
        <w:spacing w:after="0" w:line="240" w:lineRule="auto"/>
      </w:pPr>
      <w:r>
        <w:separator/>
      </w:r>
    </w:p>
  </w:endnote>
  <w:endnote w:type="continuationSeparator" w:id="0">
    <w:p w:rsidR="00B86581" w:rsidRDefault="00B86581" w:rsidP="0051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F6" w:rsidRDefault="002A39F6">
    <w:pPr>
      <w:pStyle w:val="Pieddepage"/>
    </w:pPr>
    <w:r>
      <w:t>GGC – TUBE</w:t>
    </w:r>
    <w:r>
      <w:tab/>
    </w:r>
    <w:r>
      <w:tab/>
    </w:r>
    <w:r w:rsidR="00C86B0D">
      <w:t>20/02/2019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81" w:rsidRDefault="00B86581" w:rsidP="00510A2D">
      <w:pPr>
        <w:spacing w:after="0" w:line="240" w:lineRule="auto"/>
      </w:pPr>
      <w:r>
        <w:separator/>
      </w:r>
    </w:p>
  </w:footnote>
  <w:footnote w:type="continuationSeparator" w:id="0">
    <w:p w:rsidR="00B86581" w:rsidRDefault="00B86581" w:rsidP="0051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F6" w:rsidRDefault="002A39F6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A9B4D4" wp14:editId="2E8B26D2">
              <wp:simplePos x="0" y="0"/>
              <wp:positionH relativeFrom="column">
                <wp:posOffset>-761999</wp:posOffset>
              </wp:positionH>
              <wp:positionV relativeFrom="paragraph">
                <wp:posOffset>3780789</wp:posOffset>
              </wp:positionV>
              <wp:extent cx="7818120" cy="1154430"/>
              <wp:effectExtent l="2245995" t="0" r="2238375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576538">
                        <a:off x="0" y="0"/>
                        <a:ext cx="7818120" cy="1154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39F6" w:rsidRDefault="002A39F6" w:rsidP="002A39F6">
                          <w:pPr>
                            <w:jc w:val="center"/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  <w:sz w:val="96"/>
                              <w:szCs w:val="9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GGC – document de travail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9B4D4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margin-left:-60pt;margin-top:297.7pt;width:615.6pt;height:90.9pt;rotation:-3302427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" filled="f" stroked="f">
              <v:textbox style="mso-fit-shape-to-text:t">
                <w:txbxContent>
                  <w:p w:rsidR="002A39F6" w:rsidRDefault="002A39F6" w:rsidP="002A39F6">
                    <w:pPr>
                      <w:jc w:val="center"/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2F2F2" w:themeColor="background1" w:themeShade="F2"/>
                        <w:sz w:val="96"/>
                        <w:szCs w:val="9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GGC – document de travail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fr-FR"/>
      </w:rPr>
      <w:drawing>
        <wp:inline distT="0" distB="0" distL="0" distR="0">
          <wp:extent cx="714375" cy="714375"/>
          <wp:effectExtent l="0" t="0" r="9525" b="0"/>
          <wp:docPr id="1" name="Image 1" descr="C:\Users\jamain\AppData\Local\Microsoft\Windows\INetCache\Content.Word\Logo_GGC_RVB ONCO GENET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ain\AppData\Local\Microsoft\Windows\INetCache\Content.Word\Logo_GGC_RVB ONCO GENET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5FC"/>
    <w:multiLevelType w:val="hybridMultilevel"/>
    <w:tmpl w:val="837A5E5E"/>
    <w:lvl w:ilvl="0" w:tplc="CE565AE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2956"/>
    <w:multiLevelType w:val="hybridMultilevel"/>
    <w:tmpl w:val="BBD0CEEE"/>
    <w:lvl w:ilvl="0" w:tplc="CE565A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049"/>
    <w:multiLevelType w:val="hybridMultilevel"/>
    <w:tmpl w:val="5F96964A"/>
    <w:lvl w:ilvl="0" w:tplc="B726CC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826"/>
    <w:multiLevelType w:val="hybridMultilevel"/>
    <w:tmpl w:val="E0744498"/>
    <w:lvl w:ilvl="0" w:tplc="02C0E5C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F63F5"/>
    <w:multiLevelType w:val="hybridMultilevel"/>
    <w:tmpl w:val="DF126D06"/>
    <w:lvl w:ilvl="0" w:tplc="CE565AE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C66"/>
    <w:multiLevelType w:val="hybridMultilevel"/>
    <w:tmpl w:val="7C867EB2"/>
    <w:lvl w:ilvl="0" w:tplc="59B02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18D5"/>
    <w:multiLevelType w:val="hybridMultilevel"/>
    <w:tmpl w:val="DF0C76F2"/>
    <w:lvl w:ilvl="0" w:tplc="05525D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23EE"/>
    <w:multiLevelType w:val="hybridMultilevel"/>
    <w:tmpl w:val="403A5300"/>
    <w:lvl w:ilvl="0" w:tplc="64E04AA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E"/>
    <w:rsid w:val="0003616B"/>
    <w:rsid w:val="00065525"/>
    <w:rsid w:val="00084C94"/>
    <w:rsid w:val="00086ED7"/>
    <w:rsid w:val="000E2C2B"/>
    <w:rsid w:val="000E6CC3"/>
    <w:rsid w:val="00114269"/>
    <w:rsid w:val="00115CFA"/>
    <w:rsid w:val="00185F25"/>
    <w:rsid w:val="001908A3"/>
    <w:rsid w:val="001939DE"/>
    <w:rsid w:val="0019740A"/>
    <w:rsid w:val="001C36E9"/>
    <w:rsid w:val="00200B0C"/>
    <w:rsid w:val="002222A1"/>
    <w:rsid w:val="002321B0"/>
    <w:rsid w:val="00271029"/>
    <w:rsid w:val="00286667"/>
    <w:rsid w:val="0029551C"/>
    <w:rsid w:val="002A39F6"/>
    <w:rsid w:val="002A798D"/>
    <w:rsid w:val="002B02AD"/>
    <w:rsid w:val="00346744"/>
    <w:rsid w:val="00370568"/>
    <w:rsid w:val="0037178E"/>
    <w:rsid w:val="003738BE"/>
    <w:rsid w:val="003835C5"/>
    <w:rsid w:val="003A62AD"/>
    <w:rsid w:val="003B0C46"/>
    <w:rsid w:val="00411F9A"/>
    <w:rsid w:val="0041296C"/>
    <w:rsid w:val="004A0B4C"/>
    <w:rsid w:val="004D0CDB"/>
    <w:rsid w:val="004D6880"/>
    <w:rsid w:val="004E5107"/>
    <w:rsid w:val="004F4718"/>
    <w:rsid w:val="00510A2D"/>
    <w:rsid w:val="00552C48"/>
    <w:rsid w:val="00561D0F"/>
    <w:rsid w:val="00576E78"/>
    <w:rsid w:val="005A5B14"/>
    <w:rsid w:val="005E0432"/>
    <w:rsid w:val="005E3D7C"/>
    <w:rsid w:val="0060281B"/>
    <w:rsid w:val="00612AEF"/>
    <w:rsid w:val="00620F72"/>
    <w:rsid w:val="00637AD9"/>
    <w:rsid w:val="0065033D"/>
    <w:rsid w:val="0065689C"/>
    <w:rsid w:val="006909B3"/>
    <w:rsid w:val="006A4F14"/>
    <w:rsid w:val="006F5A4E"/>
    <w:rsid w:val="00711EA8"/>
    <w:rsid w:val="00785E2D"/>
    <w:rsid w:val="00794C84"/>
    <w:rsid w:val="007A186D"/>
    <w:rsid w:val="007A4183"/>
    <w:rsid w:val="008056FC"/>
    <w:rsid w:val="008179A4"/>
    <w:rsid w:val="008207DD"/>
    <w:rsid w:val="008446F9"/>
    <w:rsid w:val="008640A0"/>
    <w:rsid w:val="00912D7C"/>
    <w:rsid w:val="00913C10"/>
    <w:rsid w:val="00941FF0"/>
    <w:rsid w:val="00954ABB"/>
    <w:rsid w:val="00970FAF"/>
    <w:rsid w:val="009737C7"/>
    <w:rsid w:val="009763FC"/>
    <w:rsid w:val="00982D11"/>
    <w:rsid w:val="00994EE4"/>
    <w:rsid w:val="009C0719"/>
    <w:rsid w:val="00A52FC5"/>
    <w:rsid w:val="00A60CE7"/>
    <w:rsid w:val="00AF11BD"/>
    <w:rsid w:val="00AF6ACC"/>
    <w:rsid w:val="00B00218"/>
    <w:rsid w:val="00B16313"/>
    <w:rsid w:val="00B86581"/>
    <w:rsid w:val="00BC70CA"/>
    <w:rsid w:val="00BF4681"/>
    <w:rsid w:val="00C22345"/>
    <w:rsid w:val="00C24596"/>
    <w:rsid w:val="00C73EE3"/>
    <w:rsid w:val="00C7532F"/>
    <w:rsid w:val="00C83D32"/>
    <w:rsid w:val="00C86B0D"/>
    <w:rsid w:val="00C96B26"/>
    <w:rsid w:val="00CC083A"/>
    <w:rsid w:val="00CD7F44"/>
    <w:rsid w:val="00CE5951"/>
    <w:rsid w:val="00D70F49"/>
    <w:rsid w:val="00D7180E"/>
    <w:rsid w:val="00D9047E"/>
    <w:rsid w:val="00DD62D4"/>
    <w:rsid w:val="00E22A77"/>
    <w:rsid w:val="00E329B7"/>
    <w:rsid w:val="00E343C2"/>
    <w:rsid w:val="00E6201D"/>
    <w:rsid w:val="00E86D23"/>
    <w:rsid w:val="00E901E5"/>
    <w:rsid w:val="00EB1C20"/>
    <w:rsid w:val="00F105FC"/>
    <w:rsid w:val="00F31698"/>
    <w:rsid w:val="00F51C49"/>
    <w:rsid w:val="00F73176"/>
    <w:rsid w:val="00F85212"/>
    <w:rsid w:val="00F8684A"/>
    <w:rsid w:val="00FA2B02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F1EE9-2387-4198-9F15-6446FE76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A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0A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0A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0A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9F6"/>
  </w:style>
  <w:style w:type="paragraph" w:styleId="Pieddepage">
    <w:name w:val="footer"/>
    <w:basedOn w:val="Normal"/>
    <w:link w:val="PieddepageCar"/>
    <w:uiPriority w:val="99"/>
    <w:unhideWhenUsed/>
    <w:rsid w:val="002A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9F6"/>
  </w:style>
  <w:style w:type="paragraph" w:styleId="Textedebulles">
    <w:name w:val="Balloon Text"/>
    <w:basedOn w:val="Normal"/>
    <w:link w:val="TextedebullesCar"/>
    <w:uiPriority w:val="99"/>
    <w:semiHidden/>
    <w:unhideWhenUsed/>
    <w:rsid w:val="00F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08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olicepardfaut"/>
    <w:rsid w:val="00FB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Adam%20R%5BAuthor%5D&amp;cauthor=true&amp;cauthor_uid=274766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5776-A701-4B99-8C2A-DE7F8A01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 Christine</dc:creator>
  <cp:lastModifiedBy>Adelaïde BRION</cp:lastModifiedBy>
  <cp:revision>2</cp:revision>
  <dcterms:created xsi:type="dcterms:W3CDTF">2021-11-15T14:28:00Z</dcterms:created>
  <dcterms:modified xsi:type="dcterms:W3CDTF">2021-11-15T14:28:00Z</dcterms:modified>
</cp:coreProperties>
</file>